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11" w:rsidRDefault="000B40A1" w:rsidP="00D21A2A">
      <w:pPr>
        <w:jc w:val="center"/>
        <w:rPr>
          <w:sz w:val="28"/>
          <w:szCs w:val="28"/>
        </w:rPr>
      </w:pPr>
      <w:r>
        <w:rPr>
          <w:sz w:val="28"/>
          <w:szCs w:val="28"/>
        </w:rPr>
        <w:t>Family Child</w:t>
      </w:r>
      <w:r w:rsidR="00B83B11">
        <w:rPr>
          <w:sz w:val="28"/>
          <w:szCs w:val="28"/>
        </w:rPr>
        <w:t xml:space="preserve"> C</w:t>
      </w:r>
      <w:r>
        <w:rPr>
          <w:sz w:val="28"/>
          <w:szCs w:val="28"/>
        </w:rPr>
        <w:t>are</w:t>
      </w:r>
      <w:r w:rsidR="00D21A2A" w:rsidRPr="00D21A2A">
        <w:rPr>
          <w:sz w:val="28"/>
          <w:szCs w:val="28"/>
        </w:rPr>
        <w:t xml:space="preserve"> </w:t>
      </w:r>
      <w:r w:rsidR="00B83B11">
        <w:rPr>
          <w:sz w:val="28"/>
          <w:szCs w:val="28"/>
        </w:rPr>
        <w:t>Homes (FCCH)</w:t>
      </w:r>
    </w:p>
    <w:p w:rsidR="00D21A2A" w:rsidRPr="00D21A2A" w:rsidRDefault="00D21A2A" w:rsidP="00D21A2A">
      <w:pPr>
        <w:jc w:val="center"/>
        <w:rPr>
          <w:sz w:val="28"/>
          <w:szCs w:val="28"/>
        </w:rPr>
      </w:pPr>
      <w:r w:rsidRPr="00D21A2A">
        <w:rPr>
          <w:sz w:val="28"/>
          <w:szCs w:val="28"/>
        </w:rPr>
        <w:t>Program-Wide PBS Benchmarks of Quality</w:t>
      </w:r>
    </w:p>
    <w:p w:rsidR="00D21A2A" w:rsidRDefault="00D21A2A" w:rsidP="00D21A2A">
      <w:pPr>
        <w:jc w:val="center"/>
      </w:pPr>
    </w:p>
    <w:p w:rsidR="00D21A2A" w:rsidRDefault="004B3431" w:rsidP="0014239F">
      <w:r>
        <w:t>Provider</w:t>
      </w:r>
      <w:r w:rsidR="005135B0">
        <w:t>(s)</w:t>
      </w:r>
      <w:r w:rsidR="0014239F">
        <w:t xml:space="preserve"> Name:  </w:t>
      </w:r>
      <w:r>
        <w:t>___________________________  Address</w:t>
      </w:r>
      <w:r w:rsidR="0014239F">
        <w:t xml:space="preserve">:  </w:t>
      </w:r>
      <w:r w:rsidR="00D21A2A">
        <w:t>___________________________  Date</w:t>
      </w:r>
      <w:r w:rsidR="0014239F">
        <w:t xml:space="preserve">:  </w:t>
      </w:r>
      <w:r w:rsidR="00D21A2A">
        <w:t>______________________</w:t>
      </w:r>
    </w:p>
    <w:p w:rsidR="00D21A2A" w:rsidRDefault="00D21A2A" w:rsidP="0014239F"/>
    <w:p w:rsidR="00D21A2A" w:rsidRDefault="005135B0" w:rsidP="0014239F">
      <w:r>
        <w:t>Consultant(s) Name(s)</w:t>
      </w:r>
      <w:r w:rsidR="00D21A2A">
        <w:t>s</w:t>
      </w:r>
      <w:r w:rsidR="0014239F">
        <w:t xml:space="preserve">:  </w:t>
      </w:r>
      <w:r w:rsidR="00D21A2A">
        <w:t>________________________________________________________________________________________</w:t>
      </w:r>
      <w:r w:rsidR="0014239F">
        <w:t>_____</w:t>
      </w:r>
      <w:r w:rsidR="00D959A2">
        <w:t>______________</w:t>
      </w:r>
    </w:p>
    <w:p w:rsidR="005135B0" w:rsidRDefault="005135B0" w:rsidP="0014239F"/>
    <w:p w:rsidR="0014239F" w:rsidRDefault="0014239F" w:rsidP="0014239F"/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7952"/>
        <w:gridCol w:w="907"/>
        <w:gridCol w:w="907"/>
        <w:gridCol w:w="944"/>
      </w:tblGrid>
      <w:tr w:rsidR="00D21A2A" w:rsidTr="00392870">
        <w:trPr>
          <w:trHeight w:val="140"/>
          <w:tblHeader/>
        </w:trPr>
        <w:tc>
          <w:tcPr>
            <w:tcW w:w="2538" w:type="dxa"/>
            <w:vMerge w:val="restart"/>
            <w:shd w:val="clear" w:color="auto" w:fill="D9D9D9"/>
          </w:tcPr>
          <w:p w:rsidR="00D21A2A" w:rsidRPr="005D30EA" w:rsidRDefault="00D21A2A" w:rsidP="00B81333">
            <w:pPr>
              <w:jc w:val="center"/>
              <w:rPr>
                <w:b/>
              </w:rPr>
            </w:pPr>
            <w:r w:rsidRPr="005D30EA">
              <w:rPr>
                <w:b/>
              </w:rPr>
              <w:t>Critical Elements</w:t>
            </w:r>
          </w:p>
        </w:tc>
        <w:tc>
          <w:tcPr>
            <w:tcW w:w="7952" w:type="dxa"/>
            <w:vMerge w:val="restart"/>
            <w:shd w:val="clear" w:color="auto" w:fill="D9D9D9"/>
          </w:tcPr>
          <w:p w:rsidR="00D21A2A" w:rsidRPr="00B81333" w:rsidRDefault="00D21A2A" w:rsidP="00B81333">
            <w:pPr>
              <w:jc w:val="center"/>
              <w:rPr>
                <w:b/>
              </w:rPr>
            </w:pPr>
            <w:r w:rsidRPr="00B81333">
              <w:rPr>
                <w:b/>
              </w:rPr>
              <w:t>Benchmarks of Quality</w:t>
            </w:r>
            <w:r w:rsidR="005A2F0E">
              <w:rPr>
                <w:b/>
              </w:rPr>
              <w:t xml:space="preserve"> (BOQ)</w:t>
            </w:r>
          </w:p>
        </w:tc>
        <w:tc>
          <w:tcPr>
            <w:tcW w:w="2758" w:type="dxa"/>
            <w:gridSpan w:val="3"/>
            <w:shd w:val="clear" w:color="auto" w:fill="D9D9D9"/>
          </w:tcPr>
          <w:p w:rsidR="00D21A2A" w:rsidRPr="00B81333" w:rsidRDefault="00D21A2A" w:rsidP="00B81333">
            <w:pPr>
              <w:jc w:val="center"/>
              <w:rPr>
                <w:b/>
              </w:rPr>
            </w:pPr>
            <w:r w:rsidRPr="00B81333">
              <w:rPr>
                <w:b/>
              </w:rPr>
              <w:t>Check One</w:t>
            </w:r>
          </w:p>
        </w:tc>
      </w:tr>
      <w:tr w:rsidR="00D21A2A" w:rsidTr="00392870">
        <w:trPr>
          <w:trHeight w:val="422"/>
          <w:tblHeader/>
        </w:trPr>
        <w:tc>
          <w:tcPr>
            <w:tcW w:w="253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D21A2A" w:rsidRPr="005D30EA" w:rsidRDefault="00D21A2A" w:rsidP="00B81333">
            <w:pPr>
              <w:jc w:val="center"/>
              <w:rPr>
                <w:b/>
              </w:rPr>
            </w:pPr>
          </w:p>
        </w:tc>
        <w:tc>
          <w:tcPr>
            <w:tcW w:w="7952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D21A2A" w:rsidRPr="00B81333" w:rsidRDefault="00D21A2A" w:rsidP="00B81333">
            <w:pPr>
              <w:jc w:val="center"/>
              <w:rPr>
                <w:b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9D9D9"/>
          </w:tcPr>
          <w:p w:rsidR="00D21A2A" w:rsidRPr="00B81333" w:rsidRDefault="00D21A2A" w:rsidP="00B81333">
            <w:pPr>
              <w:jc w:val="center"/>
              <w:rPr>
                <w:b/>
                <w:sz w:val="16"/>
                <w:szCs w:val="16"/>
              </w:rPr>
            </w:pPr>
            <w:r w:rsidRPr="00B81333">
              <w:rPr>
                <w:b/>
                <w:sz w:val="16"/>
                <w:szCs w:val="16"/>
              </w:rPr>
              <w:t>Not in Place</w:t>
            </w:r>
          </w:p>
          <w:p w:rsidR="0014239F" w:rsidRPr="00B81333" w:rsidRDefault="0014239F" w:rsidP="00B81333">
            <w:pPr>
              <w:jc w:val="center"/>
              <w:rPr>
                <w:b/>
                <w:sz w:val="16"/>
                <w:szCs w:val="16"/>
              </w:rPr>
            </w:pPr>
            <w:r w:rsidRPr="00B8133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7" w:type="dxa"/>
            <w:shd w:val="clear" w:color="auto" w:fill="D9D9D9"/>
          </w:tcPr>
          <w:p w:rsidR="00D21A2A" w:rsidRPr="00B81333" w:rsidRDefault="00840E15" w:rsidP="00B81333">
            <w:pPr>
              <w:jc w:val="center"/>
              <w:rPr>
                <w:b/>
                <w:sz w:val="16"/>
                <w:szCs w:val="16"/>
              </w:rPr>
            </w:pPr>
            <w:r w:rsidRPr="00B81333">
              <w:rPr>
                <w:b/>
                <w:sz w:val="16"/>
                <w:szCs w:val="16"/>
              </w:rPr>
              <w:t>Partially in Place</w:t>
            </w:r>
          </w:p>
          <w:p w:rsidR="0014239F" w:rsidRPr="00B81333" w:rsidRDefault="0014239F" w:rsidP="00B81333">
            <w:pPr>
              <w:jc w:val="center"/>
              <w:rPr>
                <w:b/>
                <w:sz w:val="16"/>
                <w:szCs w:val="16"/>
              </w:rPr>
            </w:pPr>
            <w:r w:rsidRPr="00B8133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44" w:type="dxa"/>
            <w:shd w:val="clear" w:color="auto" w:fill="D9D9D9"/>
          </w:tcPr>
          <w:p w:rsidR="00D21A2A" w:rsidRPr="00B81333" w:rsidRDefault="00D21A2A" w:rsidP="00B81333">
            <w:pPr>
              <w:jc w:val="center"/>
              <w:rPr>
                <w:b/>
                <w:sz w:val="16"/>
                <w:szCs w:val="16"/>
              </w:rPr>
            </w:pPr>
            <w:r w:rsidRPr="00B81333">
              <w:rPr>
                <w:b/>
                <w:sz w:val="16"/>
                <w:szCs w:val="16"/>
              </w:rPr>
              <w:t>In Place</w:t>
            </w:r>
          </w:p>
          <w:p w:rsidR="0014239F" w:rsidRPr="00B81333" w:rsidRDefault="0014239F" w:rsidP="00B81333">
            <w:pPr>
              <w:jc w:val="center"/>
              <w:rPr>
                <w:b/>
                <w:sz w:val="16"/>
                <w:szCs w:val="16"/>
              </w:rPr>
            </w:pPr>
          </w:p>
          <w:p w:rsidR="0014239F" w:rsidRPr="00B81333" w:rsidRDefault="0014239F" w:rsidP="00B81333">
            <w:pPr>
              <w:jc w:val="center"/>
              <w:rPr>
                <w:b/>
                <w:sz w:val="16"/>
                <w:szCs w:val="16"/>
              </w:rPr>
            </w:pPr>
            <w:r w:rsidRPr="00B81333">
              <w:rPr>
                <w:b/>
                <w:sz w:val="16"/>
                <w:szCs w:val="16"/>
              </w:rPr>
              <w:t>2</w:t>
            </w:r>
          </w:p>
        </w:tc>
      </w:tr>
      <w:tr w:rsidR="00D21A2A" w:rsidTr="00B75603">
        <w:trPr>
          <w:trHeight w:val="845"/>
        </w:trPr>
        <w:tc>
          <w:tcPr>
            <w:tcW w:w="2538" w:type="dxa"/>
            <w:vMerge w:val="restart"/>
          </w:tcPr>
          <w:p w:rsidR="00D21A2A" w:rsidRPr="005D30EA" w:rsidRDefault="00D21A2A" w:rsidP="00B81333">
            <w:pPr>
              <w:jc w:val="center"/>
              <w:rPr>
                <w:b/>
              </w:rPr>
            </w:pPr>
            <w:r w:rsidRPr="005D30EA">
              <w:rPr>
                <w:b/>
              </w:rPr>
              <w:t>Establish</w:t>
            </w:r>
            <w:r w:rsidR="00C45A15">
              <w:rPr>
                <w:b/>
              </w:rPr>
              <w:t xml:space="preserve"> and Maintain</w:t>
            </w:r>
            <w:r w:rsidRPr="005D30EA">
              <w:rPr>
                <w:b/>
              </w:rPr>
              <w:t xml:space="preserve"> </w:t>
            </w:r>
            <w:r w:rsidR="00C45A15">
              <w:rPr>
                <w:b/>
              </w:rPr>
              <w:t>a Plan for Implementation</w:t>
            </w:r>
          </w:p>
          <w:p w:rsidR="00B37724" w:rsidRPr="005D30EA" w:rsidRDefault="00B37724" w:rsidP="00B81333">
            <w:pPr>
              <w:jc w:val="center"/>
              <w:rPr>
                <w:b/>
              </w:rPr>
            </w:pPr>
          </w:p>
          <w:p w:rsidR="00B37724" w:rsidRPr="005D30EA" w:rsidRDefault="00B37724" w:rsidP="00B81333">
            <w:pPr>
              <w:jc w:val="center"/>
              <w:rPr>
                <w:b/>
              </w:rPr>
            </w:pPr>
          </w:p>
          <w:p w:rsidR="00B37724" w:rsidRPr="005D30EA" w:rsidRDefault="00B37724" w:rsidP="00B81333">
            <w:pPr>
              <w:jc w:val="center"/>
              <w:rPr>
                <w:b/>
              </w:rPr>
            </w:pPr>
          </w:p>
          <w:p w:rsidR="00B37724" w:rsidRPr="005D30EA" w:rsidRDefault="00B37724" w:rsidP="00B81333">
            <w:pPr>
              <w:jc w:val="center"/>
              <w:rPr>
                <w:b/>
              </w:rPr>
            </w:pPr>
          </w:p>
          <w:p w:rsidR="00B37724" w:rsidRPr="005D30EA" w:rsidRDefault="00B37724" w:rsidP="00B81333">
            <w:pPr>
              <w:jc w:val="center"/>
              <w:rPr>
                <w:b/>
              </w:rPr>
            </w:pPr>
          </w:p>
          <w:p w:rsidR="00B37724" w:rsidRPr="005D30EA" w:rsidRDefault="00B37724" w:rsidP="00B81333">
            <w:pPr>
              <w:jc w:val="center"/>
              <w:rPr>
                <w:b/>
              </w:rPr>
            </w:pPr>
          </w:p>
          <w:p w:rsidR="00B37724" w:rsidRPr="005D30EA" w:rsidRDefault="00B37724" w:rsidP="00B81333">
            <w:pPr>
              <w:jc w:val="center"/>
              <w:rPr>
                <w:b/>
              </w:rPr>
            </w:pPr>
          </w:p>
          <w:p w:rsidR="00B37724" w:rsidRPr="005D30EA" w:rsidRDefault="00B37724" w:rsidP="00C2316A">
            <w:pPr>
              <w:rPr>
                <w:b/>
              </w:rPr>
            </w:pPr>
          </w:p>
          <w:p w:rsidR="00C2316A" w:rsidRDefault="00C2316A" w:rsidP="00B37724">
            <w:pPr>
              <w:rPr>
                <w:b/>
              </w:rPr>
            </w:pPr>
          </w:p>
          <w:p w:rsidR="00C2316A" w:rsidRPr="00C2316A" w:rsidRDefault="00C2316A" w:rsidP="00C2316A"/>
          <w:p w:rsidR="00B37724" w:rsidRPr="00C2316A" w:rsidRDefault="00B37724" w:rsidP="00C2316A"/>
        </w:tc>
        <w:tc>
          <w:tcPr>
            <w:tcW w:w="7952" w:type="dxa"/>
          </w:tcPr>
          <w:p w:rsidR="00C2316A" w:rsidRPr="005B3E5A" w:rsidRDefault="000B1871" w:rsidP="002E4A44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Provider</w:t>
            </w:r>
            <w:r w:rsidR="00C45A15">
              <w:rPr>
                <w:sz w:val="22"/>
              </w:rPr>
              <w:t xml:space="preserve"> </w:t>
            </w:r>
            <w:r w:rsidR="00D959A2">
              <w:rPr>
                <w:sz w:val="22"/>
              </w:rPr>
              <w:t>is</w:t>
            </w:r>
            <w:r w:rsidR="00C45A15">
              <w:rPr>
                <w:sz w:val="22"/>
              </w:rPr>
              <w:t xml:space="preserve"> committed to </w:t>
            </w:r>
            <w:r w:rsidR="00C45A15" w:rsidRPr="00B81333">
              <w:rPr>
                <w:sz w:val="22"/>
              </w:rPr>
              <w:t xml:space="preserve">active problem-solving </w:t>
            </w:r>
            <w:r w:rsidR="00D959A2">
              <w:rPr>
                <w:sz w:val="22"/>
              </w:rPr>
              <w:t xml:space="preserve">including regular contact with consultant(s) </w:t>
            </w:r>
            <w:r w:rsidR="00C45A15" w:rsidRPr="00B81333">
              <w:rPr>
                <w:sz w:val="22"/>
              </w:rPr>
              <w:t>to ensure the success</w:t>
            </w:r>
            <w:r w:rsidR="00D959A2">
              <w:rPr>
                <w:sz w:val="22"/>
              </w:rPr>
              <w:t>ful implementation</w:t>
            </w:r>
            <w:r w:rsidR="00C45A15" w:rsidRPr="00B81333">
              <w:rPr>
                <w:sz w:val="22"/>
              </w:rPr>
              <w:t xml:space="preserve"> of </w:t>
            </w:r>
            <w:r w:rsidR="00C45A15">
              <w:rPr>
                <w:sz w:val="22"/>
              </w:rPr>
              <w:t xml:space="preserve">Pyramid Model </w:t>
            </w:r>
            <w:r w:rsidR="00D959A2">
              <w:rPr>
                <w:sz w:val="22"/>
              </w:rPr>
              <w:t>practices using a signed written agreement with the consultant(s).</w:t>
            </w:r>
            <w:r w:rsidR="002E4A44">
              <w:rPr>
                <w:sz w:val="22"/>
              </w:rPr>
              <w:t xml:space="preserve"> (A review of provider attitudes is found in Implementation Guide, Module 1, Section B.)</w:t>
            </w:r>
          </w:p>
        </w:tc>
        <w:tc>
          <w:tcPr>
            <w:tcW w:w="907" w:type="dxa"/>
            <w:shd w:val="clear" w:color="auto" w:fill="auto"/>
          </w:tcPr>
          <w:p w:rsidR="00D21A2A" w:rsidRDefault="00D21A2A" w:rsidP="00B81333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D21A2A" w:rsidRDefault="00D21A2A" w:rsidP="00B81333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D21A2A" w:rsidRDefault="00D21A2A" w:rsidP="00B81333">
            <w:pPr>
              <w:jc w:val="center"/>
            </w:pPr>
          </w:p>
        </w:tc>
      </w:tr>
      <w:tr w:rsidR="00D21A2A" w:rsidTr="00B75603">
        <w:trPr>
          <w:trHeight w:val="93"/>
        </w:trPr>
        <w:tc>
          <w:tcPr>
            <w:tcW w:w="2538" w:type="dxa"/>
            <w:vMerge/>
          </w:tcPr>
          <w:p w:rsidR="00D21A2A" w:rsidRPr="005D30EA" w:rsidRDefault="00D21A2A" w:rsidP="00B81333">
            <w:pPr>
              <w:jc w:val="center"/>
              <w:rPr>
                <w:b/>
              </w:rPr>
            </w:pPr>
          </w:p>
        </w:tc>
        <w:tc>
          <w:tcPr>
            <w:tcW w:w="7952" w:type="dxa"/>
          </w:tcPr>
          <w:p w:rsidR="00C2316A" w:rsidRPr="005B3E5A" w:rsidRDefault="00024A91" w:rsidP="00D959A2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Provider</w:t>
            </w:r>
            <w:r w:rsidR="00C45A15">
              <w:rPr>
                <w:sz w:val="22"/>
              </w:rPr>
              <w:t xml:space="preserve"> </w:t>
            </w:r>
            <w:r w:rsidR="00C45A15" w:rsidRPr="00B81333">
              <w:rPr>
                <w:sz w:val="22"/>
              </w:rPr>
              <w:t>has estab</w:t>
            </w:r>
            <w:r w:rsidR="00D959A2">
              <w:rPr>
                <w:sz w:val="22"/>
              </w:rPr>
              <w:t xml:space="preserve">lished a clear mission/purpose and is able to explain the purpose </w:t>
            </w:r>
            <w:r w:rsidR="00C45A15" w:rsidRPr="00B81333">
              <w:rPr>
                <w:sz w:val="22"/>
              </w:rPr>
              <w:t xml:space="preserve">the purpose of the </w:t>
            </w:r>
            <w:r w:rsidR="00C45A15">
              <w:rPr>
                <w:sz w:val="22"/>
              </w:rPr>
              <w:t>Pyramid Model</w:t>
            </w:r>
            <w:r w:rsidR="00C45A15" w:rsidRPr="00B81333">
              <w:rPr>
                <w:sz w:val="22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:rsidR="00D21A2A" w:rsidRDefault="00D21A2A" w:rsidP="00B81333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D21A2A" w:rsidRDefault="00D21A2A" w:rsidP="00B81333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D21A2A" w:rsidRDefault="00D21A2A" w:rsidP="00B81333">
            <w:pPr>
              <w:jc w:val="center"/>
            </w:pPr>
          </w:p>
        </w:tc>
      </w:tr>
      <w:tr w:rsidR="00D21A2A" w:rsidTr="00B75603">
        <w:trPr>
          <w:trHeight w:val="93"/>
        </w:trPr>
        <w:tc>
          <w:tcPr>
            <w:tcW w:w="2538" w:type="dxa"/>
            <w:vMerge/>
          </w:tcPr>
          <w:p w:rsidR="00D21A2A" w:rsidRPr="005D30EA" w:rsidRDefault="00D21A2A" w:rsidP="00B81333">
            <w:pPr>
              <w:jc w:val="center"/>
              <w:rPr>
                <w:b/>
              </w:rPr>
            </w:pPr>
          </w:p>
        </w:tc>
        <w:tc>
          <w:tcPr>
            <w:tcW w:w="7952" w:type="dxa"/>
          </w:tcPr>
          <w:p w:rsidR="00C2316A" w:rsidRPr="005B3E5A" w:rsidRDefault="00024A91" w:rsidP="00D959A2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Provider </w:t>
            </w:r>
            <w:r w:rsidR="00D959A2">
              <w:rPr>
                <w:sz w:val="22"/>
              </w:rPr>
              <w:t xml:space="preserve">meets regularly </w:t>
            </w:r>
            <w:r w:rsidR="00D00861">
              <w:rPr>
                <w:sz w:val="22"/>
              </w:rPr>
              <w:t xml:space="preserve">with </w:t>
            </w:r>
            <w:r w:rsidR="000B1871">
              <w:rPr>
                <w:sz w:val="22"/>
              </w:rPr>
              <w:t>consultant(s)</w:t>
            </w:r>
            <w:r w:rsidR="00D00861">
              <w:rPr>
                <w:sz w:val="22"/>
              </w:rPr>
              <w:t xml:space="preserve">, </w:t>
            </w:r>
            <w:r w:rsidR="00D21A2A" w:rsidRPr="00B81333">
              <w:rPr>
                <w:sz w:val="22"/>
              </w:rPr>
              <w:t xml:space="preserve">at least </w:t>
            </w:r>
            <w:r w:rsidR="00D959A2">
              <w:rPr>
                <w:sz w:val="22"/>
              </w:rPr>
              <w:t>once</w:t>
            </w:r>
            <w:r w:rsidR="00D21A2A" w:rsidRPr="00B81333">
              <w:rPr>
                <w:sz w:val="22"/>
              </w:rPr>
              <w:t xml:space="preserve"> per month for a minimum of 1 hour. </w:t>
            </w:r>
            <w:r w:rsidR="00D959A2">
              <w:rPr>
                <w:sz w:val="22"/>
              </w:rPr>
              <w:t>Meetings are face-to-face at least half of the time.</w:t>
            </w:r>
          </w:p>
        </w:tc>
        <w:tc>
          <w:tcPr>
            <w:tcW w:w="907" w:type="dxa"/>
            <w:shd w:val="clear" w:color="auto" w:fill="auto"/>
          </w:tcPr>
          <w:p w:rsidR="00D21A2A" w:rsidRDefault="00D21A2A" w:rsidP="00B81333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D21A2A" w:rsidRDefault="00D21A2A" w:rsidP="00B81333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D21A2A" w:rsidRDefault="00D21A2A" w:rsidP="00B81333">
            <w:pPr>
              <w:jc w:val="center"/>
            </w:pPr>
          </w:p>
        </w:tc>
      </w:tr>
      <w:tr w:rsidR="00D21A2A" w:rsidTr="00B75603">
        <w:trPr>
          <w:trHeight w:val="93"/>
        </w:trPr>
        <w:tc>
          <w:tcPr>
            <w:tcW w:w="2538" w:type="dxa"/>
            <w:vMerge/>
          </w:tcPr>
          <w:p w:rsidR="00D21A2A" w:rsidRPr="005D30EA" w:rsidRDefault="00D21A2A" w:rsidP="00B81333">
            <w:pPr>
              <w:jc w:val="center"/>
              <w:rPr>
                <w:b/>
              </w:rPr>
            </w:pPr>
          </w:p>
        </w:tc>
        <w:tc>
          <w:tcPr>
            <w:tcW w:w="7952" w:type="dxa"/>
          </w:tcPr>
          <w:p w:rsidR="00C2316A" w:rsidRPr="005B3E5A" w:rsidRDefault="00B14734" w:rsidP="007C7B30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A</w:t>
            </w:r>
            <w:r w:rsidRPr="00B81333">
              <w:rPr>
                <w:sz w:val="22"/>
              </w:rPr>
              <w:t xml:space="preserve">n </w:t>
            </w:r>
            <w:r w:rsidR="0054266F" w:rsidRPr="00B81333">
              <w:rPr>
                <w:sz w:val="22"/>
              </w:rPr>
              <w:t xml:space="preserve">Implementation Plan </w:t>
            </w:r>
            <w:r w:rsidRPr="00B81333">
              <w:rPr>
                <w:sz w:val="22"/>
              </w:rPr>
              <w:t>that includes all critical elements</w:t>
            </w:r>
            <w:r w:rsidR="005A2F0E">
              <w:rPr>
                <w:sz w:val="22"/>
              </w:rPr>
              <w:t xml:space="preserve"> in the BOQ and using the FCC Implementation Guide</w:t>
            </w:r>
            <w:r>
              <w:rPr>
                <w:sz w:val="22"/>
              </w:rPr>
              <w:t xml:space="preserve"> is established</w:t>
            </w:r>
            <w:r w:rsidRPr="00B81333">
              <w:rPr>
                <w:sz w:val="22"/>
              </w:rPr>
              <w:t xml:space="preserve">. A written implementation plan guides the work of the </w:t>
            </w:r>
            <w:r w:rsidR="007C7B30">
              <w:rPr>
                <w:sz w:val="22"/>
              </w:rPr>
              <w:t>family child care provider</w:t>
            </w:r>
            <w:r w:rsidRPr="00B81333">
              <w:rPr>
                <w:sz w:val="22"/>
              </w:rPr>
              <w:t xml:space="preserve">. The plan </w:t>
            </w:r>
            <w:r>
              <w:rPr>
                <w:sz w:val="22"/>
              </w:rPr>
              <w:t xml:space="preserve">is reviewed </w:t>
            </w:r>
            <w:r w:rsidRPr="00B81333">
              <w:rPr>
                <w:sz w:val="22"/>
              </w:rPr>
              <w:t xml:space="preserve">and </w:t>
            </w:r>
            <w:r>
              <w:rPr>
                <w:sz w:val="22"/>
              </w:rPr>
              <w:t>updated each month</w:t>
            </w:r>
            <w:r w:rsidRPr="00B81333">
              <w:rPr>
                <w:sz w:val="22"/>
              </w:rPr>
              <w:t>. Action steps are identified to ensure achievement of the goals</w:t>
            </w:r>
            <w:r w:rsidR="005A2F0E">
              <w:rPr>
                <w:sz w:val="22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:rsidR="00D21A2A" w:rsidRDefault="00D21A2A" w:rsidP="00B81333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D21A2A" w:rsidRDefault="00D21A2A" w:rsidP="00B81333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D21A2A" w:rsidRDefault="00D21A2A" w:rsidP="00B81333">
            <w:pPr>
              <w:jc w:val="center"/>
            </w:pPr>
          </w:p>
        </w:tc>
      </w:tr>
      <w:tr w:rsidR="005A2F0E" w:rsidTr="00B75603">
        <w:trPr>
          <w:trHeight w:val="350"/>
        </w:trPr>
        <w:tc>
          <w:tcPr>
            <w:tcW w:w="2538" w:type="dxa"/>
            <w:vMerge/>
          </w:tcPr>
          <w:p w:rsidR="005A2F0E" w:rsidRPr="005D30EA" w:rsidRDefault="005A2F0E" w:rsidP="00B81333">
            <w:pPr>
              <w:jc w:val="center"/>
              <w:rPr>
                <w:b/>
              </w:rPr>
            </w:pPr>
          </w:p>
        </w:tc>
        <w:tc>
          <w:tcPr>
            <w:tcW w:w="7952" w:type="dxa"/>
          </w:tcPr>
          <w:p w:rsidR="005A2F0E" w:rsidRPr="005B3E5A" w:rsidRDefault="007C7B30" w:rsidP="005B3E5A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T</w:t>
            </w:r>
            <w:r w:rsidRPr="00B81333">
              <w:rPr>
                <w:sz w:val="22"/>
              </w:rPr>
              <w:t xml:space="preserve">he </w:t>
            </w:r>
            <w:r>
              <w:rPr>
                <w:sz w:val="22"/>
              </w:rPr>
              <w:t>family child care provider</w:t>
            </w:r>
            <w:r w:rsidRPr="00B81333">
              <w:rPr>
                <w:sz w:val="22"/>
              </w:rPr>
              <w:t xml:space="preserve"> </w:t>
            </w:r>
            <w:r w:rsidR="005A2F0E" w:rsidRPr="00B81333">
              <w:rPr>
                <w:sz w:val="22"/>
              </w:rPr>
              <w:t>reviews and revises the plan at least annually</w:t>
            </w:r>
            <w:r w:rsidR="00D959A2">
              <w:rPr>
                <w:sz w:val="22"/>
              </w:rPr>
              <w:t xml:space="preserve"> and shares the goals and activities </w:t>
            </w:r>
            <w:r w:rsidR="005A2F0E">
              <w:rPr>
                <w:sz w:val="22"/>
              </w:rPr>
              <w:t>with families.</w:t>
            </w:r>
          </w:p>
        </w:tc>
        <w:tc>
          <w:tcPr>
            <w:tcW w:w="907" w:type="dxa"/>
            <w:shd w:val="clear" w:color="auto" w:fill="auto"/>
          </w:tcPr>
          <w:p w:rsidR="005A2F0E" w:rsidRDefault="005A2F0E" w:rsidP="00B81333">
            <w:pPr>
              <w:jc w:val="center"/>
            </w:pPr>
          </w:p>
        </w:tc>
        <w:tc>
          <w:tcPr>
            <w:tcW w:w="907" w:type="dxa"/>
            <w:shd w:val="clear" w:color="auto" w:fill="auto"/>
          </w:tcPr>
          <w:p w:rsidR="005A2F0E" w:rsidRDefault="005A2F0E" w:rsidP="00B81333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5A2F0E" w:rsidRDefault="005A2F0E" w:rsidP="00B81333">
            <w:pPr>
              <w:jc w:val="center"/>
            </w:pPr>
          </w:p>
        </w:tc>
      </w:tr>
    </w:tbl>
    <w:p w:rsidR="00C2316A" w:rsidRDefault="00C2316A">
      <w:r>
        <w:br w:type="page"/>
      </w:r>
    </w:p>
    <w:tbl>
      <w:tblPr>
        <w:tblW w:w="1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7952"/>
        <w:gridCol w:w="958"/>
        <w:gridCol w:w="990"/>
        <w:gridCol w:w="1080"/>
      </w:tblGrid>
      <w:tr w:rsidR="00C2316A" w:rsidTr="00E051B3">
        <w:trPr>
          <w:trHeight w:val="140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2316A" w:rsidRPr="005D30EA" w:rsidRDefault="00C2316A" w:rsidP="00C2316A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Pr="005D30EA">
              <w:rPr>
                <w:b/>
              </w:rPr>
              <w:t>Critical Elements</w:t>
            </w:r>
          </w:p>
        </w:tc>
        <w:tc>
          <w:tcPr>
            <w:tcW w:w="7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2316A" w:rsidRPr="00B81333" w:rsidRDefault="00193808" w:rsidP="00C2316A">
            <w:pPr>
              <w:jc w:val="center"/>
              <w:rPr>
                <w:b/>
              </w:rPr>
            </w:pPr>
            <w:r w:rsidRPr="00B81333">
              <w:rPr>
                <w:b/>
              </w:rPr>
              <w:t>Benchmarks of Quality</w:t>
            </w:r>
            <w:r>
              <w:rPr>
                <w:b/>
              </w:rPr>
              <w:t xml:space="preserve"> (BOQ)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C2316A" w:rsidRPr="00B81333" w:rsidRDefault="00C2316A" w:rsidP="00935C33">
            <w:pPr>
              <w:jc w:val="center"/>
              <w:rPr>
                <w:b/>
              </w:rPr>
            </w:pPr>
            <w:r>
              <w:rPr>
                <w:b/>
              </w:rPr>
              <w:t>Check One</w:t>
            </w:r>
          </w:p>
        </w:tc>
      </w:tr>
      <w:tr w:rsidR="00C2316A" w:rsidTr="00E051B3">
        <w:trPr>
          <w:trHeight w:val="140"/>
        </w:trPr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2316A" w:rsidRPr="005D30EA" w:rsidRDefault="00C2316A" w:rsidP="00C2316A">
            <w:pPr>
              <w:jc w:val="center"/>
              <w:rPr>
                <w:b/>
              </w:rPr>
            </w:pPr>
          </w:p>
        </w:tc>
        <w:tc>
          <w:tcPr>
            <w:tcW w:w="7952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C2316A" w:rsidRPr="00B81333" w:rsidRDefault="00C2316A" w:rsidP="00C2316A">
            <w:pPr>
              <w:jc w:val="center"/>
              <w:rPr>
                <w:b/>
              </w:rPr>
            </w:pPr>
          </w:p>
        </w:tc>
        <w:tc>
          <w:tcPr>
            <w:tcW w:w="958" w:type="dxa"/>
            <w:shd w:val="clear" w:color="auto" w:fill="D9D9D9"/>
          </w:tcPr>
          <w:p w:rsidR="00C2316A" w:rsidRPr="00B81333" w:rsidRDefault="00C2316A" w:rsidP="00594D88">
            <w:pPr>
              <w:jc w:val="center"/>
              <w:rPr>
                <w:b/>
                <w:sz w:val="16"/>
                <w:szCs w:val="16"/>
              </w:rPr>
            </w:pPr>
            <w:r w:rsidRPr="00B81333">
              <w:rPr>
                <w:b/>
                <w:sz w:val="16"/>
                <w:szCs w:val="16"/>
              </w:rPr>
              <w:t>Not in Place</w:t>
            </w:r>
          </w:p>
          <w:p w:rsidR="00C2316A" w:rsidRPr="00B81333" w:rsidRDefault="00C2316A" w:rsidP="00594D88">
            <w:pPr>
              <w:jc w:val="center"/>
              <w:rPr>
                <w:b/>
                <w:sz w:val="16"/>
                <w:szCs w:val="16"/>
              </w:rPr>
            </w:pPr>
            <w:r w:rsidRPr="00B8133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0" w:type="dxa"/>
            <w:shd w:val="clear" w:color="auto" w:fill="D9D9D9"/>
          </w:tcPr>
          <w:p w:rsidR="00C2316A" w:rsidRPr="00B81333" w:rsidRDefault="00C2316A" w:rsidP="00594D88">
            <w:pPr>
              <w:jc w:val="center"/>
              <w:rPr>
                <w:b/>
                <w:sz w:val="16"/>
                <w:szCs w:val="16"/>
              </w:rPr>
            </w:pPr>
            <w:r w:rsidRPr="00B81333">
              <w:rPr>
                <w:b/>
                <w:sz w:val="16"/>
                <w:szCs w:val="16"/>
              </w:rPr>
              <w:t>Partially in Place</w:t>
            </w:r>
          </w:p>
          <w:p w:rsidR="00C2316A" w:rsidRPr="00B81333" w:rsidRDefault="00C2316A" w:rsidP="00594D88">
            <w:pPr>
              <w:jc w:val="center"/>
              <w:rPr>
                <w:b/>
                <w:sz w:val="16"/>
                <w:szCs w:val="16"/>
              </w:rPr>
            </w:pPr>
            <w:r w:rsidRPr="00B8133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D9D9D9"/>
          </w:tcPr>
          <w:p w:rsidR="00C2316A" w:rsidRPr="00B81333" w:rsidRDefault="00C2316A" w:rsidP="00594D88">
            <w:pPr>
              <w:jc w:val="center"/>
              <w:rPr>
                <w:b/>
                <w:sz w:val="16"/>
                <w:szCs w:val="16"/>
              </w:rPr>
            </w:pPr>
            <w:r w:rsidRPr="00B81333">
              <w:rPr>
                <w:b/>
                <w:sz w:val="16"/>
                <w:szCs w:val="16"/>
              </w:rPr>
              <w:t>In Place</w:t>
            </w:r>
          </w:p>
          <w:p w:rsidR="00C2316A" w:rsidRPr="00B81333" w:rsidRDefault="00C2316A" w:rsidP="00594D88">
            <w:pPr>
              <w:jc w:val="center"/>
              <w:rPr>
                <w:b/>
                <w:sz w:val="16"/>
                <w:szCs w:val="16"/>
              </w:rPr>
            </w:pPr>
          </w:p>
          <w:p w:rsidR="00C2316A" w:rsidRPr="00B81333" w:rsidRDefault="00C2316A" w:rsidP="00594D88">
            <w:pPr>
              <w:jc w:val="center"/>
              <w:rPr>
                <w:b/>
                <w:sz w:val="16"/>
                <w:szCs w:val="16"/>
              </w:rPr>
            </w:pPr>
            <w:r w:rsidRPr="00B81333">
              <w:rPr>
                <w:b/>
                <w:sz w:val="16"/>
                <w:szCs w:val="16"/>
              </w:rPr>
              <w:t>2</w:t>
            </w:r>
          </w:p>
        </w:tc>
      </w:tr>
      <w:tr w:rsidR="007156A0" w:rsidTr="00E051B3">
        <w:trPr>
          <w:trHeight w:val="70"/>
        </w:trPr>
        <w:tc>
          <w:tcPr>
            <w:tcW w:w="2538" w:type="dxa"/>
            <w:vMerge w:val="restart"/>
          </w:tcPr>
          <w:p w:rsidR="007156A0" w:rsidRPr="005D30EA" w:rsidRDefault="007156A0" w:rsidP="00B81333">
            <w:pPr>
              <w:jc w:val="center"/>
              <w:rPr>
                <w:b/>
              </w:rPr>
            </w:pPr>
            <w:r w:rsidRPr="005D30EA">
              <w:rPr>
                <w:b/>
              </w:rPr>
              <w:t>Family Involvement</w:t>
            </w:r>
          </w:p>
          <w:p w:rsidR="007156A0" w:rsidRPr="005D30EA" w:rsidRDefault="00630A65" w:rsidP="00B81333">
            <w:pPr>
              <w:jc w:val="center"/>
              <w:rPr>
                <w:b/>
              </w:rPr>
            </w:pPr>
            <w:r>
              <w:rPr>
                <w:sz w:val="22"/>
              </w:rPr>
              <w:t>(Use Implementation Guide, Module 1, parts of Sections A and C for these benchmarks.)</w:t>
            </w:r>
          </w:p>
          <w:p w:rsidR="007156A0" w:rsidRPr="005D30EA" w:rsidRDefault="007156A0" w:rsidP="00B81333">
            <w:pPr>
              <w:jc w:val="center"/>
              <w:rPr>
                <w:b/>
              </w:rPr>
            </w:pPr>
          </w:p>
          <w:p w:rsidR="007156A0" w:rsidRPr="005D30EA" w:rsidRDefault="007156A0" w:rsidP="00C2316A">
            <w:pPr>
              <w:rPr>
                <w:b/>
              </w:rPr>
            </w:pPr>
          </w:p>
        </w:tc>
        <w:tc>
          <w:tcPr>
            <w:tcW w:w="7952" w:type="dxa"/>
          </w:tcPr>
          <w:p w:rsidR="007156A0" w:rsidRPr="00C2316A" w:rsidRDefault="007156A0" w:rsidP="00AE4B0D">
            <w:pPr>
              <w:numPr>
                <w:ilvl w:val="0"/>
                <w:numId w:val="1"/>
              </w:numPr>
              <w:rPr>
                <w:sz w:val="22"/>
              </w:rPr>
            </w:pPr>
            <w:r w:rsidRPr="00B81333">
              <w:rPr>
                <w:sz w:val="22"/>
              </w:rPr>
              <w:t xml:space="preserve">Family input is solicited as part of the planning process. Families are informed of </w:t>
            </w:r>
            <w:r>
              <w:rPr>
                <w:sz w:val="22"/>
              </w:rPr>
              <w:t>the provider’s adoption and implementation of Pyramid Model</w:t>
            </w:r>
            <w:r w:rsidRPr="00B81333">
              <w:rPr>
                <w:sz w:val="22"/>
              </w:rPr>
              <w:t xml:space="preserve"> </w:t>
            </w:r>
            <w:r w:rsidR="00AE4B0D">
              <w:rPr>
                <w:sz w:val="22"/>
              </w:rPr>
              <w:t xml:space="preserve">practices, </w:t>
            </w:r>
            <w:r w:rsidRPr="00B81333">
              <w:rPr>
                <w:sz w:val="22"/>
              </w:rPr>
              <w:t>and asked to provide feedback.</w:t>
            </w:r>
          </w:p>
        </w:tc>
        <w:tc>
          <w:tcPr>
            <w:tcW w:w="958" w:type="dxa"/>
            <w:shd w:val="clear" w:color="auto" w:fill="auto"/>
          </w:tcPr>
          <w:p w:rsidR="007156A0" w:rsidRDefault="007156A0" w:rsidP="00B81333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7156A0" w:rsidRDefault="007156A0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7156A0" w:rsidRDefault="007156A0" w:rsidP="00B81333">
            <w:pPr>
              <w:jc w:val="center"/>
            </w:pPr>
          </w:p>
        </w:tc>
      </w:tr>
      <w:tr w:rsidR="007156A0" w:rsidTr="00E051B3">
        <w:trPr>
          <w:trHeight w:val="70"/>
        </w:trPr>
        <w:tc>
          <w:tcPr>
            <w:tcW w:w="2538" w:type="dxa"/>
            <w:vMerge/>
          </w:tcPr>
          <w:p w:rsidR="007156A0" w:rsidRPr="005D30EA" w:rsidRDefault="007156A0" w:rsidP="00B81333">
            <w:pPr>
              <w:jc w:val="center"/>
              <w:rPr>
                <w:b/>
              </w:rPr>
            </w:pPr>
          </w:p>
        </w:tc>
        <w:tc>
          <w:tcPr>
            <w:tcW w:w="7952" w:type="dxa"/>
          </w:tcPr>
          <w:p w:rsidR="007156A0" w:rsidRPr="00C2316A" w:rsidRDefault="007156A0" w:rsidP="00AE4B0D">
            <w:pPr>
              <w:framePr w:hSpace="180" w:wrap="around" w:vAnchor="page" w:hAnchor="page" w:x="601" w:y="801"/>
              <w:numPr>
                <w:ilvl w:val="0"/>
                <w:numId w:val="1"/>
              </w:numPr>
              <w:ind w:left="372"/>
              <w:rPr>
                <w:sz w:val="22"/>
              </w:rPr>
            </w:pPr>
            <w:r>
              <w:rPr>
                <w:sz w:val="22"/>
              </w:rPr>
              <w:t xml:space="preserve">There </w:t>
            </w:r>
            <w:r w:rsidR="00AE4B0D">
              <w:rPr>
                <w:sz w:val="22"/>
              </w:rPr>
              <w:t>is</w:t>
            </w:r>
            <w:r>
              <w:rPr>
                <w:sz w:val="22"/>
              </w:rPr>
              <w:t xml:space="preserve"> more than one opportunity to share</w:t>
            </w:r>
            <w:r w:rsidRPr="00B81333">
              <w:rPr>
                <w:sz w:val="22"/>
              </w:rPr>
              <w:t xml:space="preserve"> the </w:t>
            </w:r>
            <w:r>
              <w:rPr>
                <w:sz w:val="22"/>
              </w:rPr>
              <w:t>Pyramid Model</w:t>
            </w:r>
            <w:r w:rsidRPr="00B81333">
              <w:rPr>
                <w:sz w:val="22"/>
              </w:rPr>
              <w:t xml:space="preserve"> plan with families including </w:t>
            </w:r>
            <w:r>
              <w:rPr>
                <w:sz w:val="22"/>
              </w:rPr>
              <w:t>“notes sent home</w:t>
            </w:r>
            <w:r w:rsidRPr="00B81333">
              <w:rPr>
                <w:sz w:val="22"/>
              </w:rPr>
              <w:t>,</w:t>
            </w:r>
            <w:r>
              <w:rPr>
                <w:sz w:val="22"/>
              </w:rPr>
              <w:t>”</w:t>
            </w:r>
            <w:r w:rsidRPr="00B8133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conversations with families, </w:t>
            </w:r>
            <w:r w:rsidRPr="00B81333">
              <w:rPr>
                <w:sz w:val="22"/>
              </w:rPr>
              <w:t>conferences, and parent meetings to ensure that all families are informed of the initiative.</w:t>
            </w:r>
            <w:r w:rsidR="002E4A44">
              <w:rPr>
                <w:sz w:val="22"/>
              </w:rPr>
              <w:t xml:space="preserve"> </w:t>
            </w:r>
          </w:p>
        </w:tc>
        <w:tc>
          <w:tcPr>
            <w:tcW w:w="958" w:type="dxa"/>
            <w:shd w:val="clear" w:color="auto" w:fill="auto"/>
          </w:tcPr>
          <w:p w:rsidR="007156A0" w:rsidRDefault="007156A0" w:rsidP="00B81333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7156A0" w:rsidRDefault="007156A0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7156A0" w:rsidRDefault="007156A0" w:rsidP="00B81333">
            <w:pPr>
              <w:jc w:val="center"/>
            </w:pPr>
          </w:p>
        </w:tc>
      </w:tr>
      <w:tr w:rsidR="007156A0" w:rsidTr="00AE4B0D">
        <w:trPr>
          <w:trHeight w:val="836"/>
        </w:trPr>
        <w:tc>
          <w:tcPr>
            <w:tcW w:w="2538" w:type="dxa"/>
            <w:vMerge/>
          </w:tcPr>
          <w:p w:rsidR="007156A0" w:rsidRPr="005D30EA" w:rsidRDefault="007156A0" w:rsidP="00B81333">
            <w:pPr>
              <w:jc w:val="center"/>
              <w:rPr>
                <w:b/>
              </w:rPr>
            </w:pPr>
          </w:p>
        </w:tc>
        <w:tc>
          <w:tcPr>
            <w:tcW w:w="7952" w:type="dxa"/>
            <w:tcBorders>
              <w:bottom w:val="single" w:sz="4" w:space="0" w:color="auto"/>
            </w:tcBorders>
          </w:tcPr>
          <w:p w:rsidR="007156A0" w:rsidRPr="00B81333" w:rsidRDefault="007156A0" w:rsidP="00BF3523">
            <w:pPr>
              <w:framePr w:hSpace="180" w:wrap="around" w:vAnchor="page" w:hAnchor="page" w:x="601" w:y="801"/>
              <w:numPr>
                <w:ilvl w:val="0"/>
                <w:numId w:val="1"/>
              </w:numPr>
              <w:ind w:left="372" w:hanging="372"/>
              <w:rPr>
                <w:sz w:val="22"/>
              </w:rPr>
            </w:pPr>
            <w:r w:rsidRPr="00B81333">
              <w:rPr>
                <w:sz w:val="22"/>
              </w:rPr>
              <w:t xml:space="preserve">Families are involved in </w:t>
            </w:r>
            <w:r w:rsidR="00F511D7">
              <w:rPr>
                <w:sz w:val="22"/>
              </w:rPr>
              <w:t>developing</w:t>
            </w:r>
            <w:r>
              <w:rPr>
                <w:sz w:val="22"/>
              </w:rPr>
              <w:t xml:space="preserve"> </w:t>
            </w:r>
            <w:r w:rsidRPr="00B81333">
              <w:rPr>
                <w:sz w:val="22"/>
              </w:rPr>
              <w:t xml:space="preserve">individualized plans </w:t>
            </w:r>
            <w:r>
              <w:rPr>
                <w:sz w:val="22"/>
              </w:rPr>
              <w:t xml:space="preserve">to </w:t>
            </w:r>
            <w:r w:rsidRPr="00B81333">
              <w:rPr>
                <w:sz w:val="22"/>
              </w:rPr>
              <w:t xml:space="preserve">support children </w:t>
            </w:r>
            <w:r>
              <w:rPr>
                <w:sz w:val="22"/>
              </w:rPr>
              <w:t xml:space="preserve">who need specific support, </w:t>
            </w:r>
            <w:r w:rsidRPr="00B81333">
              <w:rPr>
                <w:sz w:val="22"/>
              </w:rPr>
              <w:t xml:space="preserve">including the development of strategies that may be used in </w:t>
            </w:r>
            <w:r>
              <w:rPr>
                <w:sz w:val="22"/>
              </w:rPr>
              <w:t>the child’s</w:t>
            </w:r>
            <w:r w:rsidRPr="00B81333">
              <w:rPr>
                <w:sz w:val="22"/>
              </w:rPr>
              <w:t xml:space="preserve"> home.</w:t>
            </w:r>
            <w:r w:rsidR="002E4A44">
              <w:rPr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7156A0" w:rsidRDefault="007156A0" w:rsidP="00B81333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7156A0" w:rsidRDefault="007156A0" w:rsidP="00B81333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7156A0" w:rsidRDefault="007156A0" w:rsidP="00B81333">
            <w:pPr>
              <w:jc w:val="center"/>
            </w:pPr>
          </w:p>
        </w:tc>
      </w:tr>
      <w:tr w:rsidR="007156A0" w:rsidTr="002E0B93">
        <w:trPr>
          <w:trHeight w:val="620"/>
        </w:trPr>
        <w:tc>
          <w:tcPr>
            <w:tcW w:w="2538" w:type="dxa"/>
            <w:vMerge/>
          </w:tcPr>
          <w:p w:rsidR="007156A0" w:rsidRDefault="007156A0" w:rsidP="00B81333">
            <w:pPr>
              <w:jc w:val="center"/>
              <w:rPr>
                <w:b/>
              </w:rPr>
            </w:pPr>
          </w:p>
        </w:tc>
        <w:tc>
          <w:tcPr>
            <w:tcW w:w="7952" w:type="dxa"/>
          </w:tcPr>
          <w:p w:rsidR="007156A0" w:rsidRPr="00B81333" w:rsidRDefault="007156A0" w:rsidP="00EA48E7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Provider refers families to outside, community-based training to address challenging behaviors and promote social emotional competence</w:t>
            </w:r>
            <w:r w:rsidR="00AE4B0D">
              <w:rPr>
                <w:sz w:val="22"/>
              </w:rPr>
              <w:t>.</w:t>
            </w:r>
            <w:r w:rsidR="002E4A44">
              <w:rPr>
                <w:sz w:val="22"/>
              </w:rPr>
              <w:t xml:space="preserve"> (CSEFEL provides a 6-part family training on the Pyramid Model. (For preschool age children, see </w:t>
            </w:r>
            <w:hyperlink r:id="rId7" w:history="1">
              <w:r w:rsidR="002E4A44" w:rsidRPr="00A62A89">
                <w:rPr>
                  <w:rStyle w:val="Hyperlink"/>
                  <w:sz w:val="22"/>
                </w:rPr>
                <w:t>http://csefel.vanderbilt.edu/resources/training_parent.html</w:t>
              </w:r>
            </w:hyperlink>
            <w:r w:rsidR="002E4A44">
              <w:rPr>
                <w:sz w:val="22"/>
              </w:rPr>
              <w:t xml:space="preserve">. For infants and toddlers, see </w:t>
            </w:r>
            <w:hyperlink r:id="rId8" w:history="1">
              <w:r w:rsidR="00EA48E7" w:rsidRPr="00A62A89">
                <w:rPr>
                  <w:rStyle w:val="Hyperlink"/>
                  <w:sz w:val="22"/>
                </w:rPr>
                <w:t>http://csefel.vanderbilt.edu/resources/training_piwi.html</w:t>
              </w:r>
            </w:hyperlink>
            <w:r w:rsidR="00EA48E7">
              <w:rPr>
                <w:sz w:val="22"/>
              </w:rPr>
              <w:t xml:space="preserve">.) </w:t>
            </w:r>
          </w:p>
        </w:tc>
        <w:tc>
          <w:tcPr>
            <w:tcW w:w="958" w:type="dxa"/>
            <w:shd w:val="clear" w:color="auto" w:fill="auto"/>
          </w:tcPr>
          <w:p w:rsidR="007156A0" w:rsidRDefault="007156A0" w:rsidP="00B81333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7156A0" w:rsidRDefault="007156A0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7156A0" w:rsidRDefault="007156A0" w:rsidP="00B81333">
            <w:pPr>
              <w:jc w:val="center"/>
            </w:pPr>
          </w:p>
        </w:tc>
      </w:tr>
      <w:tr w:rsidR="00D959A2" w:rsidTr="00E051B3">
        <w:trPr>
          <w:trHeight w:val="56"/>
        </w:trPr>
        <w:tc>
          <w:tcPr>
            <w:tcW w:w="2538" w:type="dxa"/>
            <w:vMerge w:val="restart"/>
          </w:tcPr>
          <w:p w:rsidR="00D959A2" w:rsidRDefault="00D959A2" w:rsidP="00B81333">
            <w:pPr>
              <w:jc w:val="center"/>
              <w:rPr>
                <w:b/>
              </w:rPr>
            </w:pPr>
            <w:r>
              <w:rPr>
                <w:b/>
              </w:rPr>
              <w:t>Behavioral E</w:t>
            </w:r>
            <w:r w:rsidRPr="005D30EA">
              <w:rPr>
                <w:b/>
              </w:rPr>
              <w:t>xpectations</w:t>
            </w:r>
          </w:p>
          <w:p w:rsidR="007C7B30" w:rsidRPr="007C7B30" w:rsidRDefault="007C7B30" w:rsidP="007C7B30">
            <w:pPr>
              <w:jc w:val="center"/>
            </w:pPr>
            <w:r>
              <w:rPr>
                <w:sz w:val="22"/>
              </w:rPr>
              <w:t>(Use Implementation Guide, Module 1, Section H for these benchmarks.)</w:t>
            </w:r>
          </w:p>
        </w:tc>
        <w:tc>
          <w:tcPr>
            <w:tcW w:w="7952" w:type="dxa"/>
          </w:tcPr>
          <w:p w:rsidR="00D959A2" w:rsidRPr="00DC4817" w:rsidRDefault="00D959A2" w:rsidP="007C7B30">
            <w:pPr>
              <w:numPr>
                <w:ilvl w:val="0"/>
                <w:numId w:val="1"/>
              </w:numPr>
              <w:rPr>
                <w:sz w:val="22"/>
              </w:rPr>
            </w:pPr>
            <w:r w:rsidRPr="00B81333">
              <w:rPr>
                <w:sz w:val="22"/>
              </w:rPr>
              <w:t xml:space="preserve">2-5 positively stated </w:t>
            </w:r>
            <w:r>
              <w:rPr>
                <w:sz w:val="22"/>
              </w:rPr>
              <w:t>behavioral</w:t>
            </w:r>
            <w:r w:rsidR="007C7B30">
              <w:rPr>
                <w:sz w:val="22"/>
              </w:rPr>
              <w:t xml:space="preserve"> expectations are developed. </w:t>
            </w:r>
          </w:p>
        </w:tc>
        <w:tc>
          <w:tcPr>
            <w:tcW w:w="958" w:type="dxa"/>
            <w:shd w:val="clear" w:color="auto" w:fill="auto"/>
          </w:tcPr>
          <w:p w:rsidR="00D959A2" w:rsidRDefault="00D959A2" w:rsidP="00B81333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59A2" w:rsidRDefault="00D959A2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959A2" w:rsidRDefault="00D959A2" w:rsidP="00B81333">
            <w:pPr>
              <w:jc w:val="center"/>
            </w:pPr>
          </w:p>
        </w:tc>
      </w:tr>
      <w:tr w:rsidR="00D959A2" w:rsidTr="00E051B3">
        <w:trPr>
          <w:trHeight w:val="56"/>
        </w:trPr>
        <w:tc>
          <w:tcPr>
            <w:tcW w:w="2538" w:type="dxa"/>
            <w:vMerge/>
          </w:tcPr>
          <w:p w:rsidR="00D959A2" w:rsidRPr="005D30EA" w:rsidRDefault="00D959A2" w:rsidP="00B81333">
            <w:pPr>
              <w:jc w:val="center"/>
              <w:rPr>
                <w:b/>
              </w:rPr>
            </w:pPr>
          </w:p>
        </w:tc>
        <w:tc>
          <w:tcPr>
            <w:tcW w:w="7952" w:type="dxa"/>
          </w:tcPr>
          <w:p w:rsidR="00D959A2" w:rsidRPr="00B81333" w:rsidRDefault="00D959A2" w:rsidP="00E051B3">
            <w:pPr>
              <w:numPr>
                <w:ilvl w:val="0"/>
                <w:numId w:val="1"/>
              </w:numPr>
              <w:rPr>
                <w:sz w:val="22"/>
              </w:rPr>
            </w:pPr>
            <w:r w:rsidRPr="00B81333">
              <w:rPr>
                <w:sz w:val="22"/>
              </w:rPr>
              <w:t>Expectations are written in a way that appl</w:t>
            </w:r>
            <w:r w:rsidR="00B56977">
              <w:rPr>
                <w:sz w:val="22"/>
              </w:rPr>
              <w:t>y</w:t>
            </w:r>
            <w:r w:rsidRPr="00B81333">
              <w:rPr>
                <w:sz w:val="22"/>
              </w:rPr>
              <w:t xml:space="preserve"> to both children and </w:t>
            </w:r>
            <w:r>
              <w:rPr>
                <w:sz w:val="22"/>
              </w:rPr>
              <w:t>adults</w:t>
            </w:r>
            <w:r w:rsidRPr="00B81333">
              <w:rPr>
                <w:sz w:val="22"/>
              </w:rPr>
              <w:t xml:space="preserve">. </w:t>
            </w:r>
          </w:p>
        </w:tc>
        <w:tc>
          <w:tcPr>
            <w:tcW w:w="958" w:type="dxa"/>
            <w:shd w:val="clear" w:color="auto" w:fill="auto"/>
          </w:tcPr>
          <w:p w:rsidR="00D959A2" w:rsidRDefault="00D959A2" w:rsidP="00B81333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59A2" w:rsidRDefault="00D959A2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959A2" w:rsidRDefault="00D959A2" w:rsidP="00B81333">
            <w:pPr>
              <w:jc w:val="center"/>
            </w:pPr>
          </w:p>
        </w:tc>
      </w:tr>
      <w:tr w:rsidR="00D959A2" w:rsidTr="00E051B3">
        <w:trPr>
          <w:trHeight w:val="56"/>
        </w:trPr>
        <w:tc>
          <w:tcPr>
            <w:tcW w:w="2538" w:type="dxa"/>
            <w:vMerge/>
          </w:tcPr>
          <w:p w:rsidR="00D959A2" w:rsidRPr="005D30EA" w:rsidRDefault="00D959A2" w:rsidP="00B81333">
            <w:pPr>
              <w:jc w:val="center"/>
              <w:rPr>
                <w:b/>
              </w:rPr>
            </w:pPr>
          </w:p>
        </w:tc>
        <w:tc>
          <w:tcPr>
            <w:tcW w:w="7952" w:type="dxa"/>
          </w:tcPr>
          <w:p w:rsidR="00D959A2" w:rsidRPr="00C2316A" w:rsidRDefault="00D959A2" w:rsidP="00DC50B2">
            <w:pPr>
              <w:numPr>
                <w:ilvl w:val="0"/>
                <w:numId w:val="1"/>
              </w:numPr>
              <w:rPr>
                <w:sz w:val="22"/>
              </w:rPr>
            </w:pPr>
            <w:r w:rsidRPr="00B81333">
              <w:rPr>
                <w:sz w:val="22"/>
              </w:rPr>
              <w:t>Expectations are developmentally appropriate</w:t>
            </w:r>
            <w:r>
              <w:rPr>
                <w:sz w:val="22"/>
              </w:rPr>
              <w:t xml:space="preserve"> and linked to concrete rules for behavior within activities and settings.</w:t>
            </w:r>
          </w:p>
        </w:tc>
        <w:tc>
          <w:tcPr>
            <w:tcW w:w="958" w:type="dxa"/>
            <w:shd w:val="clear" w:color="auto" w:fill="auto"/>
          </w:tcPr>
          <w:p w:rsidR="00D959A2" w:rsidRDefault="00D959A2" w:rsidP="00B81333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59A2" w:rsidRDefault="00D959A2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959A2" w:rsidRDefault="00D959A2" w:rsidP="00B81333">
            <w:pPr>
              <w:jc w:val="center"/>
            </w:pPr>
          </w:p>
        </w:tc>
      </w:tr>
      <w:tr w:rsidR="00D959A2" w:rsidTr="00AE4B0D">
        <w:trPr>
          <w:trHeight w:val="341"/>
        </w:trPr>
        <w:tc>
          <w:tcPr>
            <w:tcW w:w="2538" w:type="dxa"/>
            <w:vMerge/>
          </w:tcPr>
          <w:p w:rsidR="00D959A2" w:rsidRPr="005D30EA" w:rsidRDefault="00D959A2" w:rsidP="00B81333">
            <w:pPr>
              <w:jc w:val="center"/>
              <w:rPr>
                <w:b/>
              </w:rPr>
            </w:pPr>
          </w:p>
        </w:tc>
        <w:tc>
          <w:tcPr>
            <w:tcW w:w="7952" w:type="dxa"/>
          </w:tcPr>
          <w:p w:rsidR="00D959A2" w:rsidRPr="00DC4817" w:rsidRDefault="00D959A2" w:rsidP="00E051B3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Expectations are posted in </w:t>
            </w:r>
            <w:r w:rsidR="00E051B3">
              <w:rPr>
                <w:sz w:val="22"/>
              </w:rPr>
              <w:t>the home, visible to adults and children</w:t>
            </w:r>
          </w:p>
        </w:tc>
        <w:tc>
          <w:tcPr>
            <w:tcW w:w="958" w:type="dxa"/>
            <w:shd w:val="clear" w:color="auto" w:fill="auto"/>
          </w:tcPr>
          <w:p w:rsidR="00D959A2" w:rsidRDefault="00D959A2" w:rsidP="00B81333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D959A2" w:rsidRDefault="00D959A2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D959A2" w:rsidRDefault="00D959A2" w:rsidP="00B81333">
            <w:pPr>
              <w:jc w:val="center"/>
            </w:pPr>
          </w:p>
        </w:tc>
      </w:tr>
      <w:tr w:rsidR="00E051B3" w:rsidTr="00E051B3">
        <w:trPr>
          <w:trHeight w:val="56"/>
        </w:trPr>
        <w:tc>
          <w:tcPr>
            <w:tcW w:w="2538" w:type="dxa"/>
            <w:vMerge w:val="restart"/>
          </w:tcPr>
          <w:p w:rsidR="00E051B3" w:rsidRDefault="00E051B3" w:rsidP="00367C7C">
            <w:pPr>
              <w:jc w:val="center"/>
              <w:rPr>
                <w:b/>
              </w:rPr>
            </w:pPr>
            <w:r>
              <w:rPr>
                <w:b/>
              </w:rPr>
              <w:t xml:space="preserve">Strategies for Teaching and Acknowledging the </w:t>
            </w:r>
            <w:r w:rsidR="00367C7C">
              <w:rPr>
                <w:b/>
              </w:rPr>
              <w:t>Behavioral</w:t>
            </w:r>
            <w:r w:rsidRPr="005D30EA">
              <w:rPr>
                <w:b/>
              </w:rPr>
              <w:t xml:space="preserve"> </w:t>
            </w:r>
            <w:r>
              <w:rPr>
                <w:b/>
              </w:rPr>
              <w:t>E</w:t>
            </w:r>
            <w:r w:rsidRPr="005D30EA">
              <w:rPr>
                <w:b/>
              </w:rPr>
              <w:t>xpectations</w:t>
            </w:r>
          </w:p>
          <w:p w:rsidR="007C7B30" w:rsidRPr="005D30EA" w:rsidRDefault="007C7B30" w:rsidP="00367C7C">
            <w:pPr>
              <w:jc w:val="center"/>
              <w:rPr>
                <w:b/>
              </w:rPr>
            </w:pPr>
            <w:r>
              <w:rPr>
                <w:sz w:val="22"/>
              </w:rPr>
              <w:t>(Use Implementation Guide, Module 1, Section H for these benchmarks.)</w:t>
            </w:r>
          </w:p>
        </w:tc>
        <w:tc>
          <w:tcPr>
            <w:tcW w:w="7952" w:type="dxa"/>
          </w:tcPr>
          <w:p w:rsidR="00E051B3" w:rsidRPr="00E051B3" w:rsidRDefault="00E051B3" w:rsidP="00E051B3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Teaching of expectations is done within </w:t>
            </w:r>
            <w:r w:rsidRPr="00B81333">
              <w:rPr>
                <w:sz w:val="22"/>
              </w:rPr>
              <w:t>group activities</w:t>
            </w:r>
            <w:r>
              <w:rPr>
                <w:sz w:val="22"/>
              </w:rPr>
              <w:t xml:space="preserve"> </w:t>
            </w:r>
            <w:r w:rsidRPr="00B81333">
              <w:rPr>
                <w:sz w:val="22"/>
              </w:rPr>
              <w:t>and</w:t>
            </w:r>
            <w:r>
              <w:rPr>
                <w:sz w:val="22"/>
              </w:rPr>
              <w:t xml:space="preserve"> in</w:t>
            </w:r>
            <w:r w:rsidRPr="00B81333">
              <w:rPr>
                <w:sz w:val="22"/>
              </w:rPr>
              <w:t xml:space="preserve"> individual </w:t>
            </w:r>
            <w:r>
              <w:rPr>
                <w:sz w:val="22"/>
              </w:rPr>
              <w:t xml:space="preserve">interactions with children. </w:t>
            </w:r>
          </w:p>
        </w:tc>
        <w:tc>
          <w:tcPr>
            <w:tcW w:w="958" w:type="dxa"/>
            <w:shd w:val="clear" w:color="auto" w:fill="auto"/>
          </w:tcPr>
          <w:p w:rsidR="00E051B3" w:rsidRDefault="00E051B3" w:rsidP="00AE4B0D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E051B3" w:rsidRDefault="00E051B3" w:rsidP="00AE4B0D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051B3" w:rsidRDefault="00E051B3"/>
        </w:tc>
      </w:tr>
      <w:tr w:rsidR="00E051B3" w:rsidTr="00E051B3">
        <w:trPr>
          <w:trHeight w:val="1052"/>
        </w:trPr>
        <w:tc>
          <w:tcPr>
            <w:tcW w:w="2538" w:type="dxa"/>
            <w:vMerge/>
          </w:tcPr>
          <w:p w:rsidR="00E051B3" w:rsidRPr="005D30EA" w:rsidRDefault="00E051B3" w:rsidP="00B81333">
            <w:pPr>
              <w:jc w:val="center"/>
              <w:rPr>
                <w:b/>
              </w:rPr>
            </w:pPr>
          </w:p>
        </w:tc>
        <w:tc>
          <w:tcPr>
            <w:tcW w:w="7952" w:type="dxa"/>
          </w:tcPr>
          <w:p w:rsidR="00E051B3" w:rsidRPr="00B81333" w:rsidRDefault="00E051B3" w:rsidP="00E051B3">
            <w:pPr>
              <w:numPr>
                <w:ilvl w:val="0"/>
                <w:numId w:val="1"/>
              </w:numPr>
              <w:rPr>
                <w:sz w:val="22"/>
              </w:rPr>
            </w:pPr>
            <w:r w:rsidRPr="00B81333">
              <w:rPr>
                <w:sz w:val="22"/>
              </w:rPr>
              <w:t xml:space="preserve">A variety of teaching strategies are used: teaching the concept, talking about examples and non-examples, scaffolding children’s use of the expectations in the context of ongoing activities and routines. Instruction on expectations </w:t>
            </w:r>
            <w:r>
              <w:rPr>
                <w:sz w:val="22"/>
              </w:rPr>
              <w:t xml:space="preserve">and rules </w:t>
            </w:r>
            <w:r w:rsidRPr="00B81333">
              <w:rPr>
                <w:sz w:val="22"/>
              </w:rPr>
              <w:t>occurs on a daily basis.</w:t>
            </w:r>
          </w:p>
        </w:tc>
        <w:tc>
          <w:tcPr>
            <w:tcW w:w="958" w:type="dxa"/>
            <w:shd w:val="clear" w:color="auto" w:fill="auto"/>
          </w:tcPr>
          <w:p w:rsidR="00E051B3" w:rsidRDefault="00E051B3" w:rsidP="00B81333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E051B3" w:rsidRDefault="00E051B3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E051B3" w:rsidRDefault="00E051B3" w:rsidP="00B81333">
            <w:pPr>
              <w:jc w:val="center"/>
            </w:pPr>
          </w:p>
        </w:tc>
      </w:tr>
      <w:tr w:rsidR="00E051B3" w:rsidTr="002E0B93">
        <w:trPr>
          <w:trHeight w:val="890"/>
        </w:trPr>
        <w:tc>
          <w:tcPr>
            <w:tcW w:w="2538" w:type="dxa"/>
            <w:vMerge/>
            <w:tcBorders>
              <w:bottom w:val="single" w:sz="4" w:space="0" w:color="auto"/>
            </w:tcBorders>
          </w:tcPr>
          <w:p w:rsidR="00E051B3" w:rsidRDefault="00E051B3" w:rsidP="00B81333">
            <w:pPr>
              <w:jc w:val="center"/>
              <w:rPr>
                <w:b/>
              </w:rPr>
            </w:pPr>
          </w:p>
        </w:tc>
        <w:tc>
          <w:tcPr>
            <w:tcW w:w="7952" w:type="dxa"/>
            <w:tcBorders>
              <w:bottom w:val="single" w:sz="4" w:space="0" w:color="auto"/>
            </w:tcBorders>
          </w:tcPr>
          <w:p w:rsidR="00E051B3" w:rsidRPr="00B81333" w:rsidRDefault="00E051B3" w:rsidP="00A17E63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Provide</w:t>
            </w:r>
            <w:r w:rsidR="00A17E63">
              <w:rPr>
                <w:sz w:val="22"/>
              </w:rPr>
              <w:t>r (and other adults who interact with children)</w:t>
            </w:r>
            <w:r>
              <w:rPr>
                <w:sz w:val="22"/>
              </w:rPr>
              <w:t xml:space="preserve"> use developmentally appropriate strategies to acknowledge children’s </w:t>
            </w:r>
            <w:r w:rsidR="00A17E63">
              <w:rPr>
                <w:sz w:val="22"/>
              </w:rPr>
              <w:t xml:space="preserve">understanding and following of the expectations. 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E051B3" w:rsidRDefault="00E051B3" w:rsidP="00B81333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E051B3" w:rsidRDefault="00E051B3" w:rsidP="00B81333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051B3" w:rsidRDefault="00E051B3" w:rsidP="00B81333">
            <w:pPr>
              <w:jc w:val="center"/>
            </w:pPr>
          </w:p>
        </w:tc>
      </w:tr>
    </w:tbl>
    <w:p w:rsidR="00CF1228" w:rsidRDefault="00CF1228" w:rsidP="00B81333">
      <w:pPr>
        <w:tabs>
          <w:tab w:val="left" w:pos="2538"/>
          <w:tab w:val="left" w:pos="10490"/>
          <w:tab w:val="left" w:pos="11448"/>
          <w:tab w:val="left" w:pos="12438"/>
        </w:tabs>
        <w:rPr>
          <w:b/>
        </w:rPr>
      </w:pPr>
    </w:p>
    <w:p w:rsidR="00A17E63" w:rsidRDefault="00CF1228" w:rsidP="00B81333">
      <w:pPr>
        <w:tabs>
          <w:tab w:val="left" w:pos="2538"/>
          <w:tab w:val="left" w:pos="10490"/>
          <w:tab w:val="left" w:pos="11448"/>
          <w:tab w:val="left" w:pos="12438"/>
        </w:tabs>
        <w:rPr>
          <w:b/>
        </w:rPr>
      </w:pPr>
      <w:r>
        <w:rPr>
          <w:b/>
        </w:rPr>
        <w:br w:type="page"/>
      </w:r>
    </w:p>
    <w:tbl>
      <w:tblPr>
        <w:tblW w:w="1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7952"/>
        <w:gridCol w:w="907"/>
        <w:gridCol w:w="10"/>
        <w:gridCol w:w="41"/>
        <w:gridCol w:w="990"/>
        <w:gridCol w:w="1080"/>
      </w:tblGrid>
      <w:tr w:rsidR="00A17E63" w:rsidTr="00392870">
        <w:trPr>
          <w:trHeight w:val="140"/>
          <w:tblHeader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17E63" w:rsidRPr="005D30EA" w:rsidRDefault="00A17E63" w:rsidP="006B22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  <w:r>
              <w:br w:type="page"/>
            </w:r>
            <w:r w:rsidRPr="005D30EA">
              <w:rPr>
                <w:b/>
              </w:rPr>
              <w:t>Critical Elements</w:t>
            </w:r>
          </w:p>
        </w:tc>
        <w:tc>
          <w:tcPr>
            <w:tcW w:w="7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17E63" w:rsidRPr="00B75603" w:rsidRDefault="00A17E63" w:rsidP="00B75603">
            <w:pPr>
              <w:jc w:val="center"/>
              <w:rPr>
                <w:b/>
              </w:rPr>
            </w:pPr>
            <w:r w:rsidRPr="00B81333">
              <w:rPr>
                <w:b/>
              </w:rPr>
              <w:t>Benchmarks of Quality</w:t>
            </w:r>
            <w:r>
              <w:rPr>
                <w:b/>
              </w:rPr>
              <w:t xml:space="preserve"> (BOQ)</w:t>
            </w:r>
          </w:p>
        </w:tc>
        <w:tc>
          <w:tcPr>
            <w:tcW w:w="3028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A17E63" w:rsidRPr="00B81333" w:rsidRDefault="00A17E63" w:rsidP="006B2214">
            <w:pPr>
              <w:jc w:val="center"/>
              <w:rPr>
                <w:b/>
              </w:rPr>
            </w:pPr>
            <w:r>
              <w:rPr>
                <w:b/>
              </w:rPr>
              <w:t>Check One</w:t>
            </w:r>
          </w:p>
        </w:tc>
      </w:tr>
      <w:tr w:rsidR="00A17E63" w:rsidTr="00392870">
        <w:trPr>
          <w:trHeight w:val="140"/>
          <w:tblHeader/>
        </w:trPr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17E63" w:rsidRPr="005D30EA" w:rsidRDefault="00A17E63" w:rsidP="006B2214">
            <w:pPr>
              <w:jc w:val="center"/>
              <w:rPr>
                <w:b/>
              </w:rPr>
            </w:pPr>
          </w:p>
        </w:tc>
        <w:tc>
          <w:tcPr>
            <w:tcW w:w="7952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A17E63" w:rsidRPr="00B81333" w:rsidRDefault="00A17E63" w:rsidP="006B2214">
            <w:pPr>
              <w:jc w:val="center"/>
              <w:rPr>
                <w:b/>
              </w:rPr>
            </w:pPr>
          </w:p>
        </w:tc>
        <w:tc>
          <w:tcPr>
            <w:tcW w:w="958" w:type="dxa"/>
            <w:gridSpan w:val="3"/>
            <w:shd w:val="clear" w:color="auto" w:fill="D9D9D9"/>
          </w:tcPr>
          <w:p w:rsidR="00A17E63" w:rsidRPr="00B81333" w:rsidRDefault="00A17E63" w:rsidP="006B2214">
            <w:pPr>
              <w:jc w:val="center"/>
              <w:rPr>
                <w:b/>
                <w:sz w:val="16"/>
                <w:szCs w:val="16"/>
              </w:rPr>
            </w:pPr>
            <w:r w:rsidRPr="00B81333">
              <w:rPr>
                <w:b/>
                <w:sz w:val="16"/>
                <w:szCs w:val="16"/>
              </w:rPr>
              <w:t>Not in Place</w:t>
            </w:r>
          </w:p>
          <w:p w:rsidR="00A17E63" w:rsidRPr="00B81333" w:rsidRDefault="00A17E63" w:rsidP="006B2214">
            <w:pPr>
              <w:jc w:val="center"/>
              <w:rPr>
                <w:b/>
                <w:sz w:val="16"/>
                <w:szCs w:val="16"/>
              </w:rPr>
            </w:pPr>
            <w:r w:rsidRPr="00B8133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0" w:type="dxa"/>
            <w:shd w:val="clear" w:color="auto" w:fill="D9D9D9"/>
          </w:tcPr>
          <w:p w:rsidR="00A17E63" w:rsidRPr="00B81333" w:rsidRDefault="00A17E63" w:rsidP="006B2214">
            <w:pPr>
              <w:jc w:val="center"/>
              <w:rPr>
                <w:b/>
                <w:sz w:val="16"/>
                <w:szCs w:val="16"/>
              </w:rPr>
            </w:pPr>
            <w:r w:rsidRPr="00B81333">
              <w:rPr>
                <w:b/>
                <w:sz w:val="16"/>
                <w:szCs w:val="16"/>
              </w:rPr>
              <w:t>Partially in Place</w:t>
            </w:r>
          </w:p>
          <w:p w:rsidR="00A17E63" w:rsidRPr="00B81333" w:rsidRDefault="00A17E63" w:rsidP="006B2214">
            <w:pPr>
              <w:jc w:val="center"/>
              <w:rPr>
                <w:b/>
                <w:sz w:val="16"/>
                <w:szCs w:val="16"/>
              </w:rPr>
            </w:pPr>
            <w:r w:rsidRPr="00B8133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D9D9D9"/>
          </w:tcPr>
          <w:p w:rsidR="00A17E63" w:rsidRPr="00B81333" w:rsidRDefault="00A17E63" w:rsidP="006B2214">
            <w:pPr>
              <w:jc w:val="center"/>
              <w:rPr>
                <w:b/>
                <w:sz w:val="16"/>
                <w:szCs w:val="16"/>
              </w:rPr>
            </w:pPr>
            <w:r w:rsidRPr="00B81333">
              <w:rPr>
                <w:b/>
                <w:sz w:val="16"/>
                <w:szCs w:val="16"/>
              </w:rPr>
              <w:t>In Place</w:t>
            </w:r>
          </w:p>
          <w:p w:rsidR="00A17E63" w:rsidRPr="00B81333" w:rsidRDefault="00A17E63" w:rsidP="006B2214">
            <w:pPr>
              <w:jc w:val="center"/>
              <w:rPr>
                <w:b/>
                <w:sz w:val="16"/>
                <w:szCs w:val="16"/>
              </w:rPr>
            </w:pPr>
          </w:p>
          <w:p w:rsidR="00A17E63" w:rsidRPr="00B81333" w:rsidRDefault="00A17E63" w:rsidP="006B2214">
            <w:pPr>
              <w:jc w:val="center"/>
              <w:rPr>
                <w:b/>
                <w:sz w:val="16"/>
                <w:szCs w:val="16"/>
              </w:rPr>
            </w:pPr>
            <w:r w:rsidRPr="00B81333">
              <w:rPr>
                <w:b/>
                <w:sz w:val="16"/>
                <w:szCs w:val="16"/>
              </w:rPr>
              <w:t>2</w:t>
            </w:r>
          </w:p>
        </w:tc>
      </w:tr>
      <w:tr w:rsidR="00A17E63" w:rsidTr="00CF1228">
        <w:trPr>
          <w:trHeight w:val="274"/>
        </w:trPr>
        <w:tc>
          <w:tcPr>
            <w:tcW w:w="2538" w:type="dxa"/>
            <w:vMerge w:val="restart"/>
          </w:tcPr>
          <w:p w:rsidR="00A17E63" w:rsidRDefault="00A17E63" w:rsidP="00A17E63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5D30EA">
              <w:rPr>
                <w:b/>
              </w:rPr>
              <w:t>mpl</w:t>
            </w:r>
            <w:r>
              <w:rPr>
                <w:b/>
              </w:rPr>
              <w:t>ementation of the Pyramid Model is Demonstrated in All Environments</w:t>
            </w:r>
          </w:p>
          <w:p w:rsidR="007C7B30" w:rsidRPr="005D30EA" w:rsidRDefault="007C7B30" w:rsidP="00A17E63">
            <w:pPr>
              <w:jc w:val="center"/>
              <w:rPr>
                <w:b/>
              </w:rPr>
            </w:pPr>
          </w:p>
        </w:tc>
        <w:tc>
          <w:tcPr>
            <w:tcW w:w="7952" w:type="dxa"/>
            <w:tcBorders>
              <w:bottom w:val="single" w:sz="4" w:space="0" w:color="auto"/>
            </w:tcBorders>
          </w:tcPr>
          <w:p w:rsidR="00A17E63" w:rsidRPr="00B81333" w:rsidRDefault="00A17E63" w:rsidP="00A17E63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Provider</w:t>
            </w:r>
            <w:r w:rsidRPr="00B81333">
              <w:rPr>
                <w:sz w:val="22"/>
              </w:rPr>
              <w:t xml:space="preserve"> have strategies in place to promote positive relationships with children, </w:t>
            </w:r>
            <w:r>
              <w:rPr>
                <w:sz w:val="22"/>
              </w:rPr>
              <w:t xml:space="preserve">with other adults, and with families, </w:t>
            </w:r>
            <w:r w:rsidRPr="00B81333">
              <w:rPr>
                <w:sz w:val="22"/>
              </w:rPr>
              <w:t>on a daily basis.</w:t>
            </w:r>
            <w:r w:rsidR="007C7B30">
              <w:rPr>
                <w:sz w:val="22"/>
              </w:rPr>
              <w:t xml:space="preserve"> (Use Implementation Guide, Module 1, Section</w:t>
            </w:r>
            <w:r w:rsidR="002E4A44">
              <w:rPr>
                <w:sz w:val="22"/>
              </w:rPr>
              <w:t>s</w:t>
            </w:r>
            <w:r w:rsidR="007C7B30">
              <w:rPr>
                <w:sz w:val="22"/>
              </w:rPr>
              <w:t xml:space="preserve"> C</w:t>
            </w:r>
            <w:r w:rsidR="002E4A44">
              <w:rPr>
                <w:sz w:val="22"/>
              </w:rPr>
              <w:t>, J and K</w:t>
            </w:r>
            <w:r w:rsidR="007C7B30">
              <w:rPr>
                <w:sz w:val="22"/>
              </w:rPr>
              <w:t>.)</w:t>
            </w:r>
          </w:p>
        </w:tc>
        <w:tc>
          <w:tcPr>
            <w:tcW w:w="9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7E63" w:rsidRDefault="00A17E63" w:rsidP="00B81333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17E63" w:rsidRDefault="00A17E63" w:rsidP="00B81333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17E63" w:rsidRDefault="00A17E63" w:rsidP="00B81333">
            <w:pPr>
              <w:jc w:val="center"/>
            </w:pPr>
          </w:p>
        </w:tc>
      </w:tr>
      <w:tr w:rsidR="00A17E63" w:rsidTr="00CF1228">
        <w:trPr>
          <w:trHeight w:val="273"/>
        </w:trPr>
        <w:tc>
          <w:tcPr>
            <w:tcW w:w="2538" w:type="dxa"/>
            <w:vMerge/>
          </w:tcPr>
          <w:p w:rsidR="00A17E63" w:rsidRPr="005D30EA" w:rsidRDefault="00A17E63" w:rsidP="00C2316A">
            <w:pPr>
              <w:jc w:val="center"/>
              <w:rPr>
                <w:b/>
              </w:rPr>
            </w:pPr>
          </w:p>
        </w:tc>
        <w:tc>
          <w:tcPr>
            <w:tcW w:w="7952" w:type="dxa"/>
          </w:tcPr>
          <w:p w:rsidR="00A17E63" w:rsidRPr="00B81333" w:rsidRDefault="00A17E63" w:rsidP="007C7B30">
            <w:pPr>
              <w:numPr>
                <w:ilvl w:val="0"/>
                <w:numId w:val="1"/>
              </w:numPr>
              <w:rPr>
                <w:sz w:val="22"/>
              </w:rPr>
            </w:pPr>
            <w:r w:rsidRPr="001B3C09">
              <w:rPr>
                <w:sz w:val="22"/>
              </w:rPr>
              <w:t xml:space="preserve">Provider </w:t>
            </w:r>
            <w:r>
              <w:rPr>
                <w:sz w:val="22"/>
              </w:rPr>
              <w:t xml:space="preserve">has arranged environments and </w:t>
            </w:r>
            <w:r w:rsidRPr="001B3C09">
              <w:rPr>
                <w:sz w:val="22"/>
              </w:rPr>
              <w:t>materials</w:t>
            </w:r>
            <w:r>
              <w:rPr>
                <w:sz w:val="22"/>
              </w:rPr>
              <w:t xml:space="preserve"> to </w:t>
            </w:r>
            <w:r w:rsidRPr="001B3C09">
              <w:rPr>
                <w:sz w:val="22"/>
              </w:rPr>
              <w:t>social-emotional development and guides appropriate behavior</w:t>
            </w:r>
            <w:r w:rsidR="00CB6F79">
              <w:rPr>
                <w:sz w:val="22"/>
              </w:rPr>
              <w:t>. (</w:t>
            </w:r>
            <w:r w:rsidR="007C7B30">
              <w:rPr>
                <w:sz w:val="22"/>
              </w:rPr>
              <w:t>Use</w:t>
            </w:r>
            <w:r>
              <w:rPr>
                <w:sz w:val="22"/>
              </w:rPr>
              <w:t xml:space="preserve"> Implementation Guide</w:t>
            </w:r>
            <w:r w:rsidR="007C7B30">
              <w:rPr>
                <w:sz w:val="22"/>
              </w:rPr>
              <w:t>, Module 1, Section</w:t>
            </w:r>
            <w:r w:rsidR="002E4A44">
              <w:rPr>
                <w:sz w:val="22"/>
              </w:rPr>
              <w:t>s</w:t>
            </w:r>
            <w:r w:rsidR="007C7B30">
              <w:rPr>
                <w:sz w:val="22"/>
              </w:rPr>
              <w:t xml:space="preserve"> D</w:t>
            </w:r>
            <w:r w:rsidR="002E4A44">
              <w:rPr>
                <w:sz w:val="22"/>
              </w:rPr>
              <w:t>, E and F</w:t>
            </w:r>
            <w:r w:rsidR="007C7B30">
              <w:rPr>
                <w:sz w:val="22"/>
              </w:rPr>
              <w:t xml:space="preserve">, </w:t>
            </w:r>
            <w:r w:rsidR="002E4A44">
              <w:rPr>
                <w:sz w:val="22"/>
              </w:rPr>
              <w:t xml:space="preserve">and </w:t>
            </w:r>
            <w:r w:rsidR="007C7B30">
              <w:rPr>
                <w:sz w:val="22"/>
              </w:rPr>
              <w:t>Module 2, Section M.)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A17E63" w:rsidRDefault="00A17E63" w:rsidP="00B81333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A17E63" w:rsidRDefault="00A17E63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A17E63" w:rsidRDefault="00A17E63" w:rsidP="00B81333">
            <w:pPr>
              <w:jc w:val="center"/>
            </w:pPr>
          </w:p>
        </w:tc>
      </w:tr>
      <w:tr w:rsidR="00A17E63" w:rsidTr="00CF1228">
        <w:trPr>
          <w:trHeight w:val="530"/>
        </w:trPr>
        <w:tc>
          <w:tcPr>
            <w:tcW w:w="2538" w:type="dxa"/>
            <w:vMerge/>
          </w:tcPr>
          <w:p w:rsidR="00A17E63" w:rsidRPr="005D30EA" w:rsidRDefault="00A17E63" w:rsidP="00C2316A">
            <w:pPr>
              <w:jc w:val="center"/>
              <w:rPr>
                <w:b/>
              </w:rPr>
            </w:pPr>
          </w:p>
        </w:tc>
        <w:tc>
          <w:tcPr>
            <w:tcW w:w="7952" w:type="dxa"/>
          </w:tcPr>
          <w:p w:rsidR="00A17E63" w:rsidRPr="00B81333" w:rsidRDefault="00A17E63" w:rsidP="00367C7C">
            <w:pPr>
              <w:numPr>
                <w:ilvl w:val="0"/>
                <w:numId w:val="1"/>
              </w:numPr>
              <w:rPr>
                <w:sz w:val="22"/>
              </w:rPr>
            </w:pPr>
            <w:r w:rsidRPr="00C2316A">
              <w:rPr>
                <w:sz w:val="22"/>
              </w:rPr>
              <w:t xml:space="preserve">Provider </w:t>
            </w:r>
            <w:r>
              <w:rPr>
                <w:sz w:val="22"/>
              </w:rPr>
              <w:t xml:space="preserve">does effectively teaches </w:t>
            </w:r>
            <w:r w:rsidRPr="00C2316A">
              <w:rPr>
                <w:sz w:val="22"/>
              </w:rPr>
              <w:t>social and emotional skills within daily activities</w:t>
            </w:r>
            <w:r w:rsidR="00367C7C">
              <w:rPr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 w:rsidRPr="00C2316A">
              <w:rPr>
                <w:sz w:val="22"/>
              </w:rPr>
              <w:t xml:space="preserve"> in a manner that is meaningful to children and promotes skill acquisition.</w:t>
            </w:r>
            <w:r w:rsidR="007C7B30">
              <w:rPr>
                <w:sz w:val="22"/>
              </w:rPr>
              <w:t xml:space="preserve"> (Use Implementation Guide, Module 2, Sections L, O and P.)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A17E63" w:rsidRDefault="00A17E63" w:rsidP="00B81333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A17E63" w:rsidRDefault="00A17E63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A17E63" w:rsidRDefault="00A17E63" w:rsidP="00B81333">
            <w:pPr>
              <w:jc w:val="center"/>
            </w:pPr>
          </w:p>
        </w:tc>
      </w:tr>
      <w:tr w:rsidR="00A17E63" w:rsidTr="00CF1228">
        <w:trPr>
          <w:trHeight w:val="220"/>
        </w:trPr>
        <w:tc>
          <w:tcPr>
            <w:tcW w:w="2538" w:type="dxa"/>
            <w:vMerge/>
          </w:tcPr>
          <w:p w:rsidR="00A17E63" w:rsidRPr="005D30EA" w:rsidRDefault="00A17E63" w:rsidP="00C2316A">
            <w:pPr>
              <w:jc w:val="center"/>
              <w:rPr>
                <w:b/>
              </w:rPr>
            </w:pPr>
          </w:p>
        </w:tc>
        <w:tc>
          <w:tcPr>
            <w:tcW w:w="7952" w:type="dxa"/>
          </w:tcPr>
          <w:p w:rsidR="00A17E63" w:rsidRPr="00B81333" w:rsidRDefault="00A17E63" w:rsidP="00A17E63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Provider </w:t>
            </w:r>
            <w:r w:rsidRPr="00B81333">
              <w:rPr>
                <w:sz w:val="22"/>
              </w:rPr>
              <w:t>respond</w:t>
            </w:r>
            <w:r>
              <w:rPr>
                <w:sz w:val="22"/>
              </w:rPr>
              <w:t>s</w:t>
            </w:r>
            <w:r w:rsidRPr="00B81333">
              <w:rPr>
                <w:sz w:val="22"/>
              </w:rPr>
              <w:t xml:space="preserve"> to children’s problem behavior appropriately using evidence-based approaches that are positive and provide the child with guidance about the desired appropriate behavior.</w:t>
            </w:r>
            <w:r w:rsidR="00CB6F79">
              <w:rPr>
                <w:sz w:val="22"/>
              </w:rPr>
              <w:t xml:space="preserve"> </w:t>
            </w:r>
            <w:r w:rsidR="007C7B30">
              <w:rPr>
                <w:sz w:val="22"/>
              </w:rPr>
              <w:t>(Use Implementation Guide, Module 1, Section D.)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A17E63" w:rsidRDefault="00A17E63" w:rsidP="00B81333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A17E63" w:rsidRDefault="00A17E63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A17E63" w:rsidRDefault="00A17E63" w:rsidP="00B81333">
            <w:pPr>
              <w:jc w:val="center"/>
            </w:pPr>
          </w:p>
        </w:tc>
      </w:tr>
      <w:tr w:rsidR="00A17E63" w:rsidTr="00CF1228">
        <w:trPr>
          <w:trHeight w:val="220"/>
        </w:trPr>
        <w:tc>
          <w:tcPr>
            <w:tcW w:w="2538" w:type="dxa"/>
            <w:vMerge/>
          </w:tcPr>
          <w:p w:rsidR="00A17E63" w:rsidRPr="005D30EA" w:rsidRDefault="00A17E63" w:rsidP="00D21A2A">
            <w:pPr>
              <w:rPr>
                <w:b/>
              </w:rPr>
            </w:pPr>
          </w:p>
        </w:tc>
        <w:tc>
          <w:tcPr>
            <w:tcW w:w="7952" w:type="dxa"/>
          </w:tcPr>
          <w:p w:rsidR="00A17E63" w:rsidRPr="00B81333" w:rsidRDefault="00A17E63" w:rsidP="0093199D">
            <w:pPr>
              <w:numPr>
                <w:ilvl w:val="0"/>
                <w:numId w:val="1"/>
              </w:numPr>
              <w:rPr>
                <w:sz w:val="22"/>
              </w:rPr>
            </w:pPr>
            <w:r w:rsidRPr="001B3C09">
              <w:rPr>
                <w:sz w:val="22"/>
              </w:rPr>
              <w:t xml:space="preserve"> Provider </w:t>
            </w:r>
            <w:r w:rsidR="0093199D">
              <w:rPr>
                <w:sz w:val="22"/>
              </w:rPr>
              <w:t>offers</w:t>
            </w:r>
            <w:r w:rsidRPr="001B3C09">
              <w:rPr>
                <w:sz w:val="22"/>
              </w:rPr>
              <w:t xml:space="preserve"> targeted social emotional teaching to individual children who are at-risk for challenging behavior.</w:t>
            </w:r>
            <w:r w:rsidR="007C7B30">
              <w:rPr>
                <w:sz w:val="22"/>
              </w:rPr>
              <w:t xml:space="preserve"> (Use Implementation Guide, Module 1, Section H.)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A17E63" w:rsidRDefault="00A17E63" w:rsidP="00B81333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A17E63" w:rsidRDefault="00A17E63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A17E63" w:rsidRDefault="00A17E63" w:rsidP="00B81333">
            <w:pPr>
              <w:jc w:val="center"/>
            </w:pPr>
          </w:p>
        </w:tc>
      </w:tr>
      <w:tr w:rsidR="00CF1228" w:rsidTr="00CF1228">
        <w:trPr>
          <w:trHeight w:val="782"/>
        </w:trPr>
        <w:tc>
          <w:tcPr>
            <w:tcW w:w="2538" w:type="dxa"/>
            <w:vMerge/>
          </w:tcPr>
          <w:p w:rsidR="00CF1228" w:rsidRPr="005D30EA" w:rsidRDefault="00CF1228" w:rsidP="00D21A2A">
            <w:pPr>
              <w:rPr>
                <w:b/>
              </w:rPr>
            </w:pPr>
          </w:p>
        </w:tc>
        <w:tc>
          <w:tcPr>
            <w:tcW w:w="7952" w:type="dxa"/>
          </w:tcPr>
          <w:p w:rsidR="00CF1228" w:rsidRPr="00B81333" w:rsidRDefault="00CF1228" w:rsidP="00434DD9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Provider </w:t>
            </w:r>
            <w:r w:rsidRPr="00B81333">
              <w:rPr>
                <w:sz w:val="22"/>
              </w:rPr>
              <w:t>initiate</w:t>
            </w:r>
            <w:r>
              <w:rPr>
                <w:sz w:val="22"/>
              </w:rPr>
              <w:t>s</w:t>
            </w:r>
            <w:r w:rsidRPr="00B81333">
              <w:rPr>
                <w:sz w:val="22"/>
              </w:rPr>
              <w:t xml:space="preserve"> the development of an individualized plan of behavior support for children with persistent challenging behavior</w:t>
            </w:r>
            <w:r>
              <w:rPr>
                <w:sz w:val="22"/>
              </w:rPr>
              <w:t>, with the support of the consultant or outside expert.</w:t>
            </w:r>
            <w:r w:rsidR="007C7B30">
              <w:rPr>
                <w:sz w:val="22"/>
              </w:rPr>
              <w:t xml:space="preserve"> (Use Implementation Guide, Module 2, Section N.</w:t>
            </w:r>
            <w:r w:rsidR="00434DD9">
              <w:rPr>
                <w:sz w:val="22"/>
              </w:rPr>
              <w:t xml:space="preserve"> Possible form to use is the “</w:t>
            </w:r>
            <w:hyperlink r:id="rId9" w:history="1">
              <w:r w:rsidR="00434DD9" w:rsidRPr="00A62A89">
                <w:rPr>
                  <w:rStyle w:val="Hyperlink"/>
                  <w:sz w:val="22"/>
                </w:rPr>
                <w:t>Teacher’s Support Planning Sheet</w:t>
              </w:r>
            </w:hyperlink>
            <w:r w:rsidR="00434DD9">
              <w:rPr>
                <w:sz w:val="22"/>
              </w:rPr>
              <w:t xml:space="preserve">” [File F] found on </w:t>
            </w:r>
            <w:hyperlink r:id="rId10" w:history="1">
              <w:r w:rsidR="00434DD9" w:rsidRPr="00A62A89">
                <w:rPr>
                  <w:rStyle w:val="Hyperlink"/>
                  <w:sz w:val="22"/>
                </w:rPr>
                <w:t>www.challengingbehavior.org</w:t>
              </w:r>
            </w:hyperlink>
            <w:r w:rsidR="00434DD9">
              <w:rPr>
                <w:sz w:val="22"/>
              </w:rPr>
              <w:t>.)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CF1228" w:rsidRDefault="00CF1228" w:rsidP="00B81333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CF1228" w:rsidRDefault="00CF1228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CF1228" w:rsidRDefault="00CF1228" w:rsidP="00B81333">
            <w:pPr>
              <w:jc w:val="center"/>
            </w:pPr>
          </w:p>
        </w:tc>
      </w:tr>
      <w:tr w:rsidR="005B3E5A" w:rsidTr="00CF1228">
        <w:trPr>
          <w:trHeight w:val="112"/>
        </w:trPr>
        <w:tc>
          <w:tcPr>
            <w:tcW w:w="2538" w:type="dxa"/>
            <w:vMerge w:val="restart"/>
          </w:tcPr>
          <w:p w:rsidR="005B3E5A" w:rsidRDefault="005B3E5A" w:rsidP="005B3E5A">
            <w:pPr>
              <w:jc w:val="center"/>
              <w:rPr>
                <w:b/>
              </w:rPr>
            </w:pPr>
            <w:r w:rsidRPr="005D30EA">
              <w:rPr>
                <w:b/>
              </w:rPr>
              <w:t xml:space="preserve">Procedures for </w:t>
            </w:r>
            <w:r>
              <w:rPr>
                <w:b/>
              </w:rPr>
              <w:t>R</w:t>
            </w:r>
            <w:r w:rsidRPr="005D30EA">
              <w:rPr>
                <w:b/>
              </w:rPr>
              <w:t xml:space="preserve">esponding </w:t>
            </w:r>
            <w:r>
              <w:rPr>
                <w:b/>
              </w:rPr>
              <w:t>to Challenging B</w:t>
            </w:r>
            <w:r w:rsidRPr="005D30EA">
              <w:rPr>
                <w:b/>
              </w:rPr>
              <w:t>ehavior</w:t>
            </w:r>
          </w:p>
          <w:p w:rsidR="00CF1228" w:rsidRDefault="00CF1228" w:rsidP="005B3E5A">
            <w:pPr>
              <w:jc w:val="center"/>
              <w:rPr>
                <w:b/>
              </w:rPr>
            </w:pPr>
          </w:p>
          <w:p w:rsidR="00CF1228" w:rsidRDefault="00CF1228" w:rsidP="005B3E5A">
            <w:pPr>
              <w:jc w:val="center"/>
              <w:rPr>
                <w:b/>
              </w:rPr>
            </w:pPr>
          </w:p>
          <w:p w:rsidR="00CF1228" w:rsidRDefault="00CF1228" w:rsidP="005B3E5A">
            <w:pPr>
              <w:jc w:val="center"/>
              <w:rPr>
                <w:b/>
              </w:rPr>
            </w:pPr>
          </w:p>
          <w:p w:rsidR="00CF1228" w:rsidRDefault="00CF1228" w:rsidP="005B3E5A">
            <w:pPr>
              <w:jc w:val="center"/>
              <w:rPr>
                <w:b/>
              </w:rPr>
            </w:pPr>
          </w:p>
          <w:p w:rsidR="00CF1228" w:rsidRDefault="00CF1228" w:rsidP="005B3E5A">
            <w:pPr>
              <w:jc w:val="center"/>
              <w:rPr>
                <w:b/>
              </w:rPr>
            </w:pPr>
          </w:p>
          <w:p w:rsidR="00CF1228" w:rsidRDefault="00CF1228" w:rsidP="005B3E5A">
            <w:pPr>
              <w:jc w:val="center"/>
              <w:rPr>
                <w:b/>
              </w:rPr>
            </w:pPr>
          </w:p>
          <w:p w:rsidR="00CF1228" w:rsidRDefault="00CF1228" w:rsidP="005B3E5A">
            <w:pPr>
              <w:jc w:val="center"/>
              <w:rPr>
                <w:b/>
              </w:rPr>
            </w:pPr>
          </w:p>
          <w:p w:rsidR="00CF1228" w:rsidRPr="005D30EA" w:rsidRDefault="00CF1228" w:rsidP="00CF1228">
            <w:pPr>
              <w:jc w:val="center"/>
              <w:rPr>
                <w:b/>
              </w:rPr>
            </w:pPr>
          </w:p>
        </w:tc>
        <w:tc>
          <w:tcPr>
            <w:tcW w:w="7952" w:type="dxa"/>
          </w:tcPr>
          <w:p w:rsidR="005B3E5A" w:rsidRPr="005B3E5A" w:rsidRDefault="005B3E5A" w:rsidP="00630A65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Provider </w:t>
            </w:r>
            <w:r w:rsidR="00513B74">
              <w:rPr>
                <w:sz w:val="22"/>
              </w:rPr>
              <w:t xml:space="preserve">uses </w:t>
            </w:r>
            <w:r w:rsidRPr="00B81333">
              <w:rPr>
                <w:sz w:val="22"/>
              </w:rPr>
              <w:t>evidence-based approaches to respond to problem behavior in a manner that is developmentally appropriate and teaches the child the expected behavior.</w:t>
            </w:r>
            <w:r w:rsidR="00630A65">
              <w:rPr>
                <w:sz w:val="22"/>
              </w:rPr>
              <w:t xml:space="preserve"> (Use Implementation Guide, Module 2, Sections N and P.)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</w:tr>
      <w:tr w:rsidR="005B3E5A" w:rsidTr="00CF1228">
        <w:trPr>
          <w:trHeight w:val="112"/>
        </w:trPr>
        <w:tc>
          <w:tcPr>
            <w:tcW w:w="2538" w:type="dxa"/>
            <w:vMerge/>
          </w:tcPr>
          <w:p w:rsidR="005B3E5A" w:rsidRPr="005D30EA" w:rsidRDefault="005B3E5A" w:rsidP="00B81333">
            <w:pPr>
              <w:jc w:val="center"/>
              <w:rPr>
                <w:b/>
              </w:rPr>
            </w:pPr>
          </w:p>
        </w:tc>
        <w:tc>
          <w:tcPr>
            <w:tcW w:w="7952" w:type="dxa"/>
          </w:tcPr>
          <w:p w:rsidR="005B3E5A" w:rsidRPr="005B3E5A" w:rsidRDefault="005B3E5A" w:rsidP="00434DD9">
            <w:pPr>
              <w:numPr>
                <w:ilvl w:val="0"/>
                <w:numId w:val="1"/>
              </w:numPr>
              <w:rPr>
                <w:sz w:val="22"/>
              </w:rPr>
            </w:pPr>
            <w:r w:rsidRPr="00B81333">
              <w:rPr>
                <w:sz w:val="22"/>
              </w:rPr>
              <w:t xml:space="preserve">A </w:t>
            </w:r>
            <w:r w:rsidR="00181E67">
              <w:rPr>
                <w:sz w:val="22"/>
              </w:rPr>
              <w:t>process is developed</w:t>
            </w:r>
            <w:r w:rsidR="00CB6F79">
              <w:rPr>
                <w:sz w:val="22"/>
              </w:rPr>
              <w:t>, with help from the consultant,</w:t>
            </w:r>
            <w:r w:rsidRPr="00B81333">
              <w:rPr>
                <w:sz w:val="22"/>
              </w:rPr>
              <w:t xml:space="preserve"> for responding to </w:t>
            </w:r>
            <w:r w:rsidR="00CB6F79">
              <w:rPr>
                <w:sz w:val="22"/>
              </w:rPr>
              <w:t xml:space="preserve">persistent or </w:t>
            </w:r>
            <w:r w:rsidR="009A75A3">
              <w:rPr>
                <w:sz w:val="22"/>
              </w:rPr>
              <w:t>challenging</w:t>
            </w:r>
            <w:r w:rsidRPr="00B81333">
              <w:rPr>
                <w:sz w:val="22"/>
              </w:rPr>
              <w:t xml:space="preserve"> behavior</w:t>
            </w:r>
            <w:r w:rsidR="009A75A3">
              <w:rPr>
                <w:sz w:val="22"/>
              </w:rPr>
              <w:t xml:space="preserve"> using individualized intensive interventions as part of a behavioral support plan</w:t>
            </w:r>
            <w:r w:rsidR="00CB6F79">
              <w:rPr>
                <w:sz w:val="22"/>
              </w:rPr>
              <w:t>.</w:t>
            </w:r>
            <w:r w:rsidRPr="00B81333">
              <w:rPr>
                <w:sz w:val="22"/>
              </w:rPr>
              <w:t xml:space="preserve"> </w:t>
            </w:r>
            <w:r w:rsidR="00630A65">
              <w:rPr>
                <w:sz w:val="22"/>
              </w:rPr>
              <w:t xml:space="preserve">(Use Behavior Incident Reports </w:t>
            </w:r>
            <w:r w:rsidR="00434DD9">
              <w:rPr>
                <w:sz w:val="22"/>
              </w:rPr>
              <w:t>as part of the process.)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</w:tr>
      <w:tr w:rsidR="005B3E5A" w:rsidTr="00CF1228">
        <w:trPr>
          <w:trHeight w:val="112"/>
        </w:trPr>
        <w:tc>
          <w:tcPr>
            <w:tcW w:w="2538" w:type="dxa"/>
            <w:vMerge/>
          </w:tcPr>
          <w:p w:rsidR="005B3E5A" w:rsidRPr="005D30EA" w:rsidRDefault="005B3E5A" w:rsidP="00B81333">
            <w:pPr>
              <w:jc w:val="center"/>
              <w:rPr>
                <w:b/>
              </w:rPr>
            </w:pPr>
          </w:p>
        </w:tc>
        <w:tc>
          <w:tcPr>
            <w:tcW w:w="7952" w:type="dxa"/>
          </w:tcPr>
          <w:p w:rsidR="005B3E5A" w:rsidRPr="00B81333" w:rsidRDefault="009A75A3" w:rsidP="009A75A3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Provider has identified outsiders with </w:t>
            </w:r>
            <w:r w:rsidRPr="00B81333">
              <w:rPr>
                <w:sz w:val="22"/>
              </w:rPr>
              <w:t xml:space="preserve">behavioral expertise </w:t>
            </w:r>
            <w:r>
              <w:rPr>
                <w:sz w:val="22"/>
              </w:rPr>
              <w:t>who are able to advise and coach the provider</w:t>
            </w:r>
            <w:r w:rsidRPr="00B81333">
              <w:rPr>
                <w:sz w:val="22"/>
              </w:rPr>
              <w:t xml:space="preserve"> and famil</w:t>
            </w:r>
            <w:r>
              <w:rPr>
                <w:sz w:val="22"/>
              </w:rPr>
              <w:t xml:space="preserve">y members </w:t>
            </w:r>
            <w:r w:rsidRPr="00B81333">
              <w:rPr>
                <w:sz w:val="22"/>
              </w:rPr>
              <w:t xml:space="preserve">throughout the process of </w:t>
            </w:r>
            <w:r>
              <w:rPr>
                <w:sz w:val="22"/>
              </w:rPr>
              <w:t xml:space="preserve">developing and implementing </w:t>
            </w:r>
            <w:r w:rsidRPr="00B81333">
              <w:rPr>
                <w:sz w:val="22"/>
              </w:rPr>
              <w:t>individualized intensive interventions for children in need of behavior support plans.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</w:tr>
      <w:tr w:rsidR="00392870" w:rsidTr="00CF1228">
        <w:trPr>
          <w:trHeight w:val="112"/>
        </w:trPr>
        <w:tc>
          <w:tcPr>
            <w:tcW w:w="2538" w:type="dxa"/>
            <w:vMerge/>
          </w:tcPr>
          <w:p w:rsidR="00392870" w:rsidRPr="005D30EA" w:rsidRDefault="00392870" w:rsidP="00B81333">
            <w:pPr>
              <w:jc w:val="center"/>
              <w:rPr>
                <w:b/>
              </w:rPr>
            </w:pPr>
          </w:p>
        </w:tc>
        <w:tc>
          <w:tcPr>
            <w:tcW w:w="7952" w:type="dxa"/>
            <w:vMerge w:val="restart"/>
          </w:tcPr>
          <w:p w:rsidR="00392870" w:rsidRPr="005B3E5A" w:rsidRDefault="00392870" w:rsidP="00434DD9">
            <w:pPr>
              <w:numPr>
                <w:ilvl w:val="0"/>
                <w:numId w:val="1"/>
              </w:numPr>
              <w:rPr>
                <w:sz w:val="22"/>
              </w:rPr>
            </w:pPr>
            <w:r w:rsidRPr="00B81333">
              <w:rPr>
                <w:sz w:val="22"/>
              </w:rPr>
              <w:t>A p</w:t>
            </w:r>
            <w:r>
              <w:rPr>
                <w:sz w:val="22"/>
              </w:rPr>
              <w:t xml:space="preserve">rocess for problem solving </w:t>
            </w:r>
            <w:r w:rsidRPr="00B81333">
              <w:rPr>
                <w:sz w:val="22"/>
              </w:rPr>
              <w:t xml:space="preserve">around </w:t>
            </w:r>
            <w:r>
              <w:rPr>
                <w:sz w:val="22"/>
              </w:rPr>
              <w:t xml:space="preserve">persistent and challenging behavior is </w:t>
            </w:r>
            <w:r>
              <w:rPr>
                <w:sz w:val="22"/>
              </w:rPr>
              <w:lastRenderedPageBreak/>
              <w:t>developed. The provider, with outside support, uses Behavior Incident Reports to document and analyze behavior, and to develop</w:t>
            </w:r>
            <w:r w:rsidRPr="00B8133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ideas </w:t>
            </w:r>
            <w:r w:rsidRPr="00B81333">
              <w:rPr>
                <w:sz w:val="22"/>
              </w:rPr>
              <w:t xml:space="preserve">for addressing </w:t>
            </w:r>
            <w:r>
              <w:rPr>
                <w:sz w:val="22"/>
              </w:rPr>
              <w:t>the</w:t>
            </w:r>
            <w:r w:rsidRPr="00B81333">
              <w:rPr>
                <w:sz w:val="22"/>
              </w:rPr>
              <w:t xml:space="preserve"> behavior within the </w:t>
            </w:r>
            <w:r>
              <w:rPr>
                <w:sz w:val="22"/>
              </w:rPr>
              <w:t>home</w:t>
            </w:r>
            <w:r w:rsidRPr="00B81333">
              <w:rPr>
                <w:sz w:val="22"/>
              </w:rPr>
              <w:t>.</w:t>
            </w:r>
            <w:r w:rsidR="00434DD9">
              <w:rPr>
                <w:sz w:val="22"/>
              </w:rPr>
              <w:t xml:space="preserve"> (Possible forms to use are the “</w:t>
            </w:r>
            <w:hyperlink r:id="rId11" w:history="1">
              <w:r w:rsidR="00434DD9" w:rsidRPr="00A62A89">
                <w:rPr>
                  <w:rStyle w:val="Hyperlink"/>
                  <w:sz w:val="22"/>
                </w:rPr>
                <w:t>Teacher’s Support Planning Sheet</w:t>
              </w:r>
            </w:hyperlink>
            <w:r w:rsidR="00434DD9">
              <w:rPr>
                <w:sz w:val="22"/>
              </w:rPr>
              <w:t>” [File F], the “</w:t>
            </w:r>
            <w:hyperlink r:id="rId12" w:history="1">
              <w:r w:rsidR="00434DD9" w:rsidRPr="00A62A89">
                <w:rPr>
                  <w:rStyle w:val="Hyperlink"/>
                  <w:sz w:val="22"/>
                </w:rPr>
                <w:t>Routine Based Support Guide</w:t>
              </w:r>
            </w:hyperlink>
            <w:r w:rsidR="00434DD9">
              <w:rPr>
                <w:sz w:val="22"/>
              </w:rPr>
              <w:t>” [File E], and “</w:t>
            </w:r>
            <w:hyperlink r:id="rId13" w:history="1">
              <w:r w:rsidR="00434DD9" w:rsidRPr="00A62A89">
                <w:rPr>
                  <w:rStyle w:val="Hyperlink"/>
                  <w:sz w:val="22"/>
                </w:rPr>
                <w:t>Daily Routine</w:t>
              </w:r>
            </w:hyperlink>
            <w:r w:rsidR="00434DD9">
              <w:rPr>
                <w:sz w:val="22"/>
              </w:rPr>
              <w:t xml:space="preserve">” [File D] found on </w:t>
            </w:r>
            <w:hyperlink r:id="rId14" w:history="1">
              <w:r w:rsidR="00434DD9" w:rsidRPr="00A62A89">
                <w:rPr>
                  <w:rStyle w:val="Hyperlink"/>
                  <w:sz w:val="22"/>
                </w:rPr>
                <w:t>www.challengingbehavior.org</w:t>
              </w:r>
            </w:hyperlink>
            <w:r w:rsidR="00434DD9">
              <w:rPr>
                <w:sz w:val="22"/>
              </w:rPr>
              <w:t xml:space="preserve">.) </w:t>
            </w:r>
          </w:p>
        </w:tc>
        <w:tc>
          <w:tcPr>
            <w:tcW w:w="958" w:type="dxa"/>
            <w:gridSpan w:val="3"/>
            <w:shd w:val="clear" w:color="auto" w:fill="auto"/>
          </w:tcPr>
          <w:p w:rsidR="00392870" w:rsidRDefault="00392870" w:rsidP="00B81333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392870" w:rsidRDefault="00392870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392870" w:rsidRDefault="00392870" w:rsidP="00B81333">
            <w:pPr>
              <w:jc w:val="center"/>
            </w:pPr>
          </w:p>
        </w:tc>
      </w:tr>
      <w:tr w:rsidR="00392870" w:rsidTr="00CF1228">
        <w:trPr>
          <w:trHeight w:val="953"/>
        </w:trPr>
        <w:tc>
          <w:tcPr>
            <w:tcW w:w="2538" w:type="dxa"/>
            <w:vMerge/>
          </w:tcPr>
          <w:p w:rsidR="00392870" w:rsidRPr="005D30EA" w:rsidRDefault="00392870" w:rsidP="00B81333">
            <w:pPr>
              <w:jc w:val="center"/>
              <w:rPr>
                <w:b/>
              </w:rPr>
            </w:pPr>
          </w:p>
        </w:tc>
        <w:tc>
          <w:tcPr>
            <w:tcW w:w="7952" w:type="dxa"/>
            <w:vMerge/>
          </w:tcPr>
          <w:p w:rsidR="00392870" w:rsidRPr="005B3E5A" w:rsidRDefault="00392870" w:rsidP="00392870">
            <w:pPr>
              <w:rPr>
                <w:sz w:val="22"/>
              </w:rPr>
            </w:pPr>
          </w:p>
        </w:tc>
        <w:tc>
          <w:tcPr>
            <w:tcW w:w="958" w:type="dxa"/>
            <w:gridSpan w:val="3"/>
            <w:shd w:val="clear" w:color="auto" w:fill="auto"/>
          </w:tcPr>
          <w:p w:rsidR="00392870" w:rsidRDefault="00392870" w:rsidP="00B81333">
            <w:pPr>
              <w:jc w:val="center"/>
            </w:pPr>
          </w:p>
        </w:tc>
        <w:tc>
          <w:tcPr>
            <w:tcW w:w="990" w:type="dxa"/>
            <w:shd w:val="clear" w:color="auto" w:fill="auto"/>
          </w:tcPr>
          <w:p w:rsidR="00392870" w:rsidRDefault="00392870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392870" w:rsidRDefault="00392870" w:rsidP="00B81333">
            <w:pPr>
              <w:jc w:val="center"/>
            </w:pPr>
          </w:p>
        </w:tc>
      </w:tr>
      <w:tr w:rsidR="00392870" w:rsidTr="00CF1228">
        <w:trPr>
          <w:trHeight w:val="575"/>
        </w:trPr>
        <w:tc>
          <w:tcPr>
            <w:tcW w:w="2538" w:type="dxa"/>
          </w:tcPr>
          <w:p w:rsidR="00392870" w:rsidRPr="005D30EA" w:rsidRDefault="00392870" w:rsidP="007156A0">
            <w:pPr>
              <w:jc w:val="center"/>
              <w:rPr>
                <w:b/>
              </w:rPr>
            </w:pPr>
            <w:r w:rsidRPr="005D30EA">
              <w:rPr>
                <w:b/>
              </w:rPr>
              <w:t xml:space="preserve">Procedures for </w:t>
            </w:r>
            <w:r>
              <w:rPr>
                <w:b/>
              </w:rPr>
              <w:t>R</w:t>
            </w:r>
            <w:r w:rsidRPr="005D30EA">
              <w:rPr>
                <w:b/>
              </w:rPr>
              <w:t xml:space="preserve">esponding </w:t>
            </w:r>
            <w:r>
              <w:rPr>
                <w:b/>
              </w:rPr>
              <w:t>to Challenging B</w:t>
            </w:r>
            <w:r w:rsidRPr="005D30EA">
              <w:rPr>
                <w:b/>
              </w:rPr>
              <w:t>ehavior</w:t>
            </w:r>
            <w:r>
              <w:rPr>
                <w:b/>
              </w:rPr>
              <w:t xml:space="preserve"> </w:t>
            </w:r>
            <w:r w:rsidRPr="00CF1228">
              <w:t>(continued)</w:t>
            </w:r>
          </w:p>
        </w:tc>
        <w:tc>
          <w:tcPr>
            <w:tcW w:w="7952" w:type="dxa"/>
            <w:tcBorders>
              <w:right w:val="single" w:sz="4" w:space="0" w:color="auto"/>
            </w:tcBorders>
          </w:tcPr>
          <w:p w:rsidR="00392870" w:rsidRPr="00B81333" w:rsidRDefault="00392870" w:rsidP="007156A0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Provider </w:t>
            </w:r>
            <w:r w:rsidRPr="00B81333">
              <w:rPr>
                <w:sz w:val="22"/>
              </w:rPr>
              <w:t xml:space="preserve">can identify the steps for initiating the team-based process </w:t>
            </w:r>
            <w:r>
              <w:rPr>
                <w:sz w:val="22"/>
              </w:rPr>
              <w:t>(</w:t>
            </w:r>
            <w:r w:rsidRPr="00B81333">
              <w:rPr>
                <w:sz w:val="22"/>
              </w:rPr>
              <w:t xml:space="preserve">including </w:t>
            </w:r>
            <w:r>
              <w:rPr>
                <w:sz w:val="22"/>
              </w:rPr>
              <w:t>family members, outside experts and the consultant). If a child’s behavior requires more intensive intervention, the provider has begun using the steps to initiate the process.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2870" w:rsidRDefault="00392870" w:rsidP="00814E39">
            <w:pPr>
              <w:jc w:val="center"/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2870" w:rsidRDefault="00392870" w:rsidP="00814E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2870" w:rsidRDefault="00392870" w:rsidP="00814E39">
            <w:pPr>
              <w:jc w:val="center"/>
            </w:pPr>
          </w:p>
        </w:tc>
      </w:tr>
      <w:tr w:rsidR="005B3E5A" w:rsidTr="00CF1228">
        <w:trPr>
          <w:trHeight w:val="575"/>
        </w:trPr>
        <w:tc>
          <w:tcPr>
            <w:tcW w:w="2538" w:type="dxa"/>
            <w:vMerge w:val="restart"/>
          </w:tcPr>
          <w:p w:rsidR="005B3E5A" w:rsidRPr="005D30EA" w:rsidRDefault="005B3E5A" w:rsidP="007156A0">
            <w:pPr>
              <w:jc w:val="center"/>
              <w:rPr>
                <w:b/>
              </w:rPr>
            </w:pPr>
            <w:r w:rsidRPr="005D30EA">
              <w:rPr>
                <w:b/>
              </w:rPr>
              <w:t>Professional Development Plan</w:t>
            </w:r>
          </w:p>
        </w:tc>
        <w:tc>
          <w:tcPr>
            <w:tcW w:w="7952" w:type="dxa"/>
            <w:tcBorders>
              <w:right w:val="single" w:sz="4" w:space="0" w:color="auto"/>
            </w:tcBorders>
          </w:tcPr>
          <w:p w:rsidR="005B3E5A" w:rsidRPr="004A2F4D" w:rsidRDefault="005B3E5A" w:rsidP="007156A0">
            <w:pPr>
              <w:numPr>
                <w:ilvl w:val="0"/>
                <w:numId w:val="1"/>
              </w:numPr>
              <w:rPr>
                <w:sz w:val="22"/>
              </w:rPr>
            </w:pPr>
            <w:r w:rsidRPr="00B81333">
              <w:rPr>
                <w:sz w:val="22"/>
              </w:rPr>
              <w:t>A plan for providing ongoing training, coaching</w:t>
            </w:r>
            <w:r w:rsidR="007156A0">
              <w:rPr>
                <w:sz w:val="22"/>
              </w:rPr>
              <w:t>, and</w:t>
            </w:r>
            <w:r w:rsidRPr="00B81333">
              <w:rPr>
                <w:sz w:val="22"/>
              </w:rPr>
              <w:t xml:space="preserve"> </w:t>
            </w:r>
            <w:r w:rsidR="007156A0" w:rsidRPr="00B81333">
              <w:rPr>
                <w:sz w:val="22"/>
              </w:rPr>
              <w:t xml:space="preserve">support </w:t>
            </w:r>
            <w:r w:rsidRPr="00B81333">
              <w:rPr>
                <w:sz w:val="22"/>
              </w:rPr>
              <w:t xml:space="preserve">on the </w:t>
            </w:r>
            <w:r>
              <w:rPr>
                <w:sz w:val="22"/>
              </w:rPr>
              <w:t xml:space="preserve">Pyramid Model practices </w:t>
            </w:r>
            <w:r w:rsidRPr="00B81333">
              <w:rPr>
                <w:sz w:val="22"/>
              </w:rPr>
              <w:t>is developed and implemented.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E5A" w:rsidRDefault="005B3E5A" w:rsidP="00814E39">
            <w:pPr>
              <w:jc w:val="center"/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E5A" w:rsidRDefault="005B3E5A" w:rsidP="00814E3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3E5A" w:rsidRDefault="005B3E5A" w:rsidP="00814E39">
            <w:pPr>
              <w:jc w:val="center"/>
            </w:pPr>
          </w:p>
        </w:tc>
      </w:tr>
      <w:tr w:rsidR="007156A0" w:rsidTr="00CF1228">
        <w:trPr>
          <w:trHeight w:val="620"/>
        </w:trPr>
        <w:tc>
          <w:tcPr>
            <w:tcW w:w="2538" w:type="dxa"/>
            <w:vMerge/>
          </w:tcPr>
          <w:p w:rsidR="007156A0" w:rsidRPr="005D30EA" w:rsidRDefault="007156A0" w:rsidP="00B81333">
            <w:pPr>
              <w:jc w:val="center"/>
              <w:rPr>
                <w:b/>
              </w:rPr>
            </w:pPr>
          </w:p>
        </w:tc>
        <w:tc>
          <w:tcPr>
            <w:tcW w:w="7952" w:type="dxa"/>
            <w:tcBorders>
              <w:right w:val="single" w:sz="4" w:space="0" w:color="auto"/>
            </w:tcBorders>
          </w:tcPr>
          <w:p w:rsidR="007156A0" w:rsidRPr="004A2F4D" w:rsidRDefault="007156A0" w:rsidP="007156A0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 A data-driven coaching model is used to assist the provider with implementing the Pyramid Model practices to fidelity.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56A0" w:rsidRDefault="007156A0" w:rsidP="00B81333">
            <w:pPr>
              <w:jc w:val="center"/>
              <w:rPr>
                <w:rStyle w:val="CommentReference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56A0" w:rsidRDefault="007156A0" w:rsidP="00B81333">
            <w:pPr>
              <w:jc w:val="center"/>
              <w:rPr>
                <w:rStyle w:val="CommentReference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7156A0" w:rsidRDefault="007156A0" w:rsidP="00B81333">
            <w:pPr>
              <w:jc w:val="center"/>
              <w:rPr>
                <w:rStyle w:val="CommentReference"/>
              </w:rPr>
            </w:pPr>
          </w:p>
        </w:tc>
      </w:tr>
      <w:tr w:rsidR="007156A0" w:rsidTr="00CF1228">
        <w:trPr>
          <w:trHeight w:val="611"/>
        </w:trPr>
        <w:tc>
          <w:tcPr>
            <w:tcW w:w="2538" w:type="dxa"/>
            <w:vMerge/>
          </w:tcPr>
          <w:p w:rsidR="007156A0" w:rsidRPr="005D30EA" w:rsidRDefault="007156A0" w:rsidP="00B81333">
            <w:pPr>
              <w:jc w:val="center"/>
              <w:rPr>
                <w:b/>
              </w:rPr>
            </w:pPr>
          </w:p>
        </w:tc>
        <w:tc>
          <w:tcPr>
            <w:tcW w:w="7952" w:type="dxa"/>
            <w:tcBorders>
              <w:right w:val="single" w:sz="4" w:space="0" w:color="auto"/>
            </w:tcBorders>
          </w:tcPr>
          <w:p w:rsidR="007156A0" w:rsidRPr="00B81333" w:rsidRDefault="007156A0" w:rsidP="007156A0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The training, coaching and support plan is incorporated into the providers </w:t>
            </w:r>
            <w:r w:rsidRPr="00B81333">
              <w:rPr>
                <w:sz w:val="22"/>
              </w:rPr>
              <w:t>individualized professional development plans</w:t>
            </w:r>
            <w:r>
              <w:rPr>
                <w:sz w:val="22"/>
              </w:rPr>
              <w:t>.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56A0" w:rsidRDefault="007156A0" w:rsidP="00B81333">
            <w:pPr>
              <w:jc w:val="center"/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56A0" w:rsidRDefault="007156A0" w:rsidP="00B81333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:rsidR="007156A0" w:rsidRDefault="007156A0" w:rsidP="00B81333">
            <w:pPr>
              <w:jc w:val="center"/>
            </w:pPr>
          </w:p>
        </w:tc>
      </w:tr>
      <w:tr w:rsidR="005B3E5A" w:rsidTr="00CF1228">
        <w:trPr>
          <w:trHeight w:val="530"/>
        </w:trPr>
        <w:tc>
          <w:tcPr>
            <w:tcW w:w="2538" w:type="dxa"/>
            <w:vMerge w:val="restart"/>
          </w:tcPr>
          <w:p w:rsidR="005B3E5A" w:rsidRDefault="005B3E5A" w:rsidP="00B81333">
            <w:pPr>
              <w:jc w:val="center"/>
              <w:rPr>
                <w:b/>
              </w:rPr>
            </w:pPr>
            <w:r>
              <w:rPr>
                <w:b/>
              </w:rPr>
              <w:t>Monitoring Implementation and O</w:t>
            </w:r>
            <w:r w:rsidRPr="005D30EA">
              <w:rPr>
                <w:b/>
              </w:rPr>
              <w:t>utcomes</w:t>
            </w:r>
          </w:p>
          <w:p w:rsidR="005B3E5A" w:rsidRPr="005B3E5A" w:rsidRDefault="005B3E5A" w:rsidP="005B3E5A"/>
          <w:p w:rsidR="005B3E5A" w:rsidRPr="005B3E5A" w:rsidRDefault="005B3E5A" w:rsidP="005B3E5A"/>
        </w:tc>
        <w:tc>
          <w:tcPr>
            <w:tcW w:w="7952" w:type="dxa"/>
          </w:tcPr>
          <w:p w:rsidR="005B3E5A" w:rsidRPr="00B81333" w:rsidRDefault="005B3E5A" w:rsidP="007156A0">
            <w:pPr>
              <w:numPr>
                <w:ilvl w:val="0"/>
                <w:numId w:val="1"/>
              </w:numPr>
              <w:rPr>
                <w:sz w:val="22"/>
              </w:rPr>
            </w:pPr>
            <w:r w:rsidRPr="00B81333">
              <w:rPr>
                <w:sz w:val="22"/>
              </w:rPr>
              <w:t xml:space="preserve">Process for measuring implementation </w:t>
            </w:r>
            <w:r>
              <w:rPr>
                <w:sz w:val="22"/>
              </w:rPr>
              <w:t xml:space="preserve">fidelity </w:t>
            </w:r>
            <w:r w:rsidRPr="00B81333">
              <w:rPr>
                <w:sz w:val="22"/>
              </w:rPr>
              <w:t xml:space="preserve">is </w:t>
            </w:r>
            <w:r>
              <w:rPr>
                <w:sz w:val="22"/>
              </w:rPr>
              <w:t>used</w:t>
            </w:r>
            <w:r w:rsidR="00513B74">
              <w:rPr>
                <w:sz w:val="22"/>
              </w:rPr>
              <w:t xml:space="preserve"> (</w:t>
            </w:r>
            <w:r w:rsidR="007156A0">
              <w:rPr>
                <w:sz w:val="22"/>
              </w:rPr>
              <w:t>e.g., starting with</w:t>
            </w:r>
            <w:r w:rsidR="00513B74">
              <w:rPr>
                <w:sz w:val="22"/>
              </w:rPr>
              <w:t xml:space="preserve"> </w:t>
            </w:r>
            <w:r w:rsidR="0054266F">
              <w:rPr>
                <w:sz w:val="22"/>
              </w:rPr>
              <w:t xml:space="preserve">FCC </w:t>
            </w:r>
            <w:r w:rsidR="00513B74">
              <w:rPr>
                <w:sz w:val="22"/>
              </w:rPr>
              <w:t>Implementation Guide)</w:t>
            </w:r>
            <w:r w:rsidR="007156A0">
              <w:rPr>
                <w:sz w:val="22"/>
              </w:rPr>
              <w:t xml:space="preserve"> by the consultant with the provider.</w:t>
            </w:r>
          </w:p>
        </w:tc>
        <w:tc>
          <w:tcPr>
            <w:tcW w:w="907" w:type="dxa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</w:tr>
      <w:tr w:rsidR="005B3E5A" w:rsidTr="00CF1228">
        <w:trPr>
          <w:trHeight w:val="350"/>
        </w:trPr>
        <w:tc>
          <w:tcPr>
            <w:tcW w:w="2538" w:type="dxa"/>
            <w:vMerge/>
          </w:tcPr>
          <w:p w:rsidR="005B3E5A" w:rsidRPr="005D30EA" w:rsidRDefault="005B3E5A" w:rsidP="00B81333">
            <w:pPr>
              <w:jc w:val="center"/>
              <w:rPr>
                <w:b/>
                <w:sz w:val="22"/>
              </w:rPr>
            </w:pPr>
          </w:p>
        </w:tc>
        <w:tc>
          <w:tcPr>
            <w:tcW w:w="7952" w:type="dxa"/>
          </w:tcPr>
          <w:p w:rsidR="005B3E5A" w:rsidRPr="00B81333" w:rsidRDefault="005B3E5A" w:rsidP="001F694D">
            <w:pPr>
              <w:numPr>
                <w:ilvl w:val="0"/>
                <w:numId w:val="1"/>
              </w:numPr>
              <w:rPr>
                <w:sz w:val="22"/>
              </w:rPr>
            </w:pPr>
            <w:r w:rsidRPr="00B81333">
              <w:rPr>
                <w:sz w:val="22"/>
              </w:rPr>
              <w:t xml:space="preserve">Process for measuring </w:t>
            </w:r>
            <w:r w:rsidR="00C55880">
              <w:rPr>
                <w:sz w:val="22"/>
              </w:rPr>
              <w:t>child outcomes is developed (e.g., ASQ-SE, Teaching Strategies GOLD, etc.)</w:t>
            </w:r>
          </w:p>
        </w:tc>
        <w:tc>
          <w:tcPr>
            <w:tcW w:w="907" w:type="dxa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</w:tr>
      <w:tr w:rsidR="005B3E5A" w:rsidTr="00CF1228">
        <w:trPr>
          <w:trHeight w:val="350"/>
        </w:trPr>
        <w:tc>
          <w:tcPr>
            <w:tcW w:w="2538" w:type="dxa"/>
            <w:vMerge/>
          </w:tcPr>
          <w:p w:rsidR="005B3E5A" w:rsidRPr="005D30EA" w:rsidRDefault="005B3E5A" w:rsidP="00B81333">
            <w:pPr>
              <w:jc w:val="center"/>
              <w:rPr>
                <w:b/>
                <w:sz w:val="22"/>
              </w:rPr>
            </w:pPr>
          </w:p>
        </w:tc>
        <w:tc>
          <w:tcPr>
            <w:tcW w:w="7952" w:type="dxa"/>
          </w:tcPr>
          <w:p w:rsidR="005B3E5A" w:rsidRPr="00B81333" w:rsidRDefault="005B3E5A" w:rsidP="001F694D">
            <w:pPr>
              <w:numPr>
                <w:ilvl w:val="0"/>
                <w:numId w:val="1"/>
              </w:numPr>
              <w:rPr>
                <w:sz w:val="22"/>
              </w:rPr>
            </w:pPr>
            <w:r w:rsidRPr="00B81333">
              <w:rPr>
                <w:sz w:val="22"/>
              </w:rPr>
              <w:t>Data are collected and summarized</w:t>
            </w:r>
            <w:r w:rsidR="00C55880">
              <w:rPr>
                <w:sz w:val="22"/>
              </w:rPr>
              <w:t>, including other assessment instruments such as FCCERS-R, NAFCC Accreditation, etc</w:t>
            </w:r>
            <w:r w:rsidRPr="00B81333">
              <w:rPr>
                <w:sz w:val="22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</w:tr>
      <w:tr w:rsidR="005B3E5A" w:rsidTr="00CF1228">
        <w:trPr>
          <w:trHeight w:val="350"/>
        </w:trPr>
        <w:tc>
          <w:tcPr>
            <w:tcW w:w="2538" w:type="dxa"/>
            <w:vMerge/>
          </w:tcPr>
          <w:p w:rsidR="005B3E5A" w:rsidRPr="005D30EA" w:rsidRDefault="005B3E5A" w:rsidP="00B81333">
            <w:pPr>
              <w:jc w:val="center"/>
              <w:rPr>
                <w:b/>
                <w:sz w:val="22"/>
              </w:rPr>
            </w:pPr>
          </w:p>
        </w:tc>
        <w:tc>
          <w:tcPr>
            <w:tcW w:w="7952" w:type="dxa"/>
          </w:tcPr>
          <w:p w:rsidR="005B3E5A" w:rsidRPr="00B81333" w:rsidRDefault="005B3E5A" w:rsidP="001F694D">
            <w:pPr>
              <w:numPr>
                <w:ilvl w:val="0"/>
                <w:numId w:val="1"/>
              </w:numPr>
              <w:rPr>
                <w:sz w:val="22"/>
              </w:rPr>
            </w:pPr>
            <w:r w:rsidRPr="00B81333">
              <w:rPr>
                <w:sz w:val="22"/>
              </w:rPr>
              <w:t>Dat</w:t>
            </w:r>
            <w:r w:rsidR="00DC50B2">
              <w:rPr>
                <w:sz w:val="22"/>
              </w:rPr>
              <w:t>a are shared</w:t>
            </w:r>
            <w:r w:rsidR="00C55880">
              <w:rPr>
                <w:sz w:val="22"/>
              </w:rPr>
              <w:t xml:space="preserve"> with</w:t>
            </w:r>
            <w:r w:rsidR="00DC50B2">
              <w:rPr>
                <w:sz w:val="22"/>
              </w:rPr>
              <w:t xml:space="preserve"> consultants </w:t>
            </w:r>
            <w:r w:rsidRPr="00B81333">
              <w:rPr>
                <w:sz w:val="22"/>
              </w:rPr>
              <w:t>and families.</w:t>
            </w:r>
          </w:p>
        </w:tc>
        <w:tc>
          <w:tcPr>
            <w:tcW w:w="907" w:type="dxa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</w:tr>
      <w:tr w:rsidR="005B3E5A" w:rsidTr="00CF1228">
        <w:trPr>
          <w:trHeight w:val="530"/>
        </w:trPr>
        <w:tc>
          <w:tcPr>
            <w:tcW w:w="2538" w:type="dxa"/>
            <w:vMerge/>
          </w:tcPr>
          <w:p w:rsidR="005B3E5A" w:rsidRPr="005D30EA" w:rsidRDefault="005B3E5A" w:rsidP="00B81333">
            <w:pPr>
              <w:jc w:val="center"/>
              <w:rPr>
                <w:b/>
                <w:sz w:val="22"/>
              </w:rPr>
            </w:pPr>
          </w:p>
        </w:tc>
        <w:tc>
          <w:tcPr>
            <w:tcW w:w="7952" w:type="dxa"/>
          </w:tcPr>
          <w:p w:rsidR="00C55880" w:rsidRPr="00B81333" w:rsidRDefault="005B3E5A" w:rsidP="001F694D">
            <w:pPr>
              <w:numPr>
                <w:ilvl w:val="0"/>
                <w:numId w:val="1"/>
              </w:numPr>
              <w:rPr>
                <w:sz w:val="22"/>
              </w:rPr>
            </w:pPr>
            <w:r w:rsidRPr="00B81333">
              <w:rPr>
                <w:sz w:val="22"/>
              </w:rPr>
              <w:t xml:space="preserve">Data are </w:t>
            </w:r>
            <w:r w:rsidR="0054266F" w:rsidRPr="0054266F">
              <w:rPr>
                <w:sz w:val="22"/>
              </w:rPr>
              <w:t>connected</w:t>
            </w:r>
            <w:r w:rsidR="0054266F">
              <w:rPr>
                <w:sz w:val="22"/>
              </w:rPr>
              <w:t xml:space="preserve"> </w:t>
            </w:r>
            <w:r w:rsidR="00C55880">
              <w:rPr>
                <w:sz w:val="22"/>
              </w:rPr>
              <w:t xml:space="preserve">by </w:t>
            </w:r>
            <w:r w:rsidR="0054266F">
              <w:rPr>
                <w:sz w:val="22"/>
              </w:rPr>
              <w:t xml:space="preserve">providers and </w:t>
            </w:r>
            <w:r w:rsidR="00C55880">
              <w:rPr>
                <w:sz w:val="22"/>
              </w:rPr>
              <w:t xml:space="preserve">consultants to </w:t>
            </w:r>
            <w:r w:rsidR="0054266F">
              <w:rPr>
                <w:sz w:val="22"/>
              </w:rPr>
              <w:t xml:space="preserve">the data-driven </w:t>
            </w:r>
            <w:r w:rsidR="00C55880">
              <w:rPr>
                <w:sz w:val="22"/>
              </w:rPr>
              <w:t xml:space="preserve">coaching </w:t>
            </w:r>
            <w:r w:rsidR="0054266F">
              <w:rPr>
                <w:sz w:val="22"/>
              </w:rPr>
              <w:t xml:space="preserve">model process. They are used for </w:t>
            </w:r>
            <w:r w:rsidRPr="00B81333">
              <w:rPr>
                <w:sz w:val="22"/>
              </w:rPr>
              <w:t xml:space="preserve">ongoing monitoring, problem solving, </w:t>
            </w:r>
            <w:r>
              <w:rPr>
                <w:sz w:val="22"/>
              </w:rPr>
              <w:t>ensuring child response to intervention</w:t>
            </w:r>
            <w:r w:rsidR="0054266F">
              <w:rPr>
                <w:sz w:val="22"/>
              </w:rPr>
              <w:t>s</w:t>
            </w:r>
            <w:r>
              <w:rPr>
                <w:sz w:val="22"/>
              </w:rPr>
              <w:t xml:space="preserve">, </w:t>
            </w:r>
            <w:r w:rsidRPr="00B81333">
              <w:rPr>
                <w:sz w:val="22"/>
              </w:rPr>
              <w:t>and program improvement.</w:t>
            </w:r>
          </w:p>
        </w:tc>
        <w:tc>
          <w:tcPr>
            <w:tcW w:w="907" w:type="dxa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</w:tr>
      <w:tr w:rsidR="005B3E5A" w:rsidTr="00CF1228">
        <w:trPr>
          <w:trHeight w:val="512"/>
        </w:trPr>
        <w:tc>
          <w:tcPr>
            <w:tcW w:w="2538" w:type="dxa"/>
            <w:vMerge/>
          </w:tcPr>
          <w:p w:rsidR="005B3E5A" w:rsidRPr="005D30EA" w:rsidRDefault="005B3E5A" w:rsidP="00B81333">
            <w:pPr>
              <w:jc w:val="center"/>
              <w:rPr>
                <w:b/>
                <w:sz w:val="22"/>
              </w:rPr>
            </w:pPr>
          </w:p>
        </w:tc>
        <w:tc>
          <w:tcPr>
            <w:tcW w:w="7952" w:type="dxa"/>
          </w:tcPr>
          <w:p w:rsidR="005B3E5A" w:rsidRPr="00B81333" w:rsidRDefault="0054266F" w:rsidP="0054266F">
            <w:pPr>
              <w:numPr>
                <w:ilvl w:val="0"/>
                <w:numId w:val="1"/>
              </w:numPr>
              <w:rPr>
                <w:sz w:val="22"/>
              </w:rPr>
            </w:pPr>
            <w:r w:rsidRPr="00B81333">
              <w:rPr>
                <w:sz w:val="22"/>
              </w:rPr>
              <w:t xml:space="preserve">Data are </w:t>
            </w:r>
            <w:r>
              <w:rPr>
                <w:sz w:val="22"/>
              </w:rPr>
              <w:t xml:space="preserve">used to update and revise the </w:t>
            </w:r>
            <w:r w:rsidR="005B3E5A">
              <w:rPr>
                <w:sz w:val="22"/>
              </w:rPr>
              <w:t xml:space="preserve">Implementation </w:t>
            </w:r>
            <w:r w:rsidR="005B3E5A" w:rsidRPr="00B81333">
              <w:rPr>
                <w:sz w:val="22"/>
              </w:rPr>
              <w:t>Plan</w:t>
            </w:r>
            <w:r>
              <w:rPr>
                <w:sz w:val="22"/>
              </w:rPr>
              <w:t xml:space="preserve"> (see #5)</w:t>
            </w:r>
            <w:r w:rsidR="0060165D">
              <w:rPr>
                <w:sz w:val="22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  <w:tc>
          <w:tcPr>
            <w:tcW w:w="1041" w:type="dxa"/>
            <w:gridSpan w:val="3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5B3E5A" w:rsidRDefault="005B3E5A" w:rsidP="00B81333">
            <w:pPr>
              <w:jc w:val="center"/>
            </w:pPr>
          </w:p>
        </w:tc>
      </w:tr>
    </w:tbl>
    <w:p w:rsidR="00EA48E7" w:rsidRDefault="00EA48E7"/>
    <w:sectPr w:rsidR="00EA48E7" w:rsidSect="00CF12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4B" w:rsidRDefault="0009244B" w:rsidP="00850F60">
      <w:r>
        <w:separator/>
      </w:r>
    </w:p>
  </w:endnote>
  <w:endnote w:type="continuationSeparator" w:id="0">
    <w:p w:rsidR="0009244B" w:rsidRDefault="0009244B" w:rsidP="0085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E7" w:rsidRDefault="00EA48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E7" w:rsidRPr="00EA48E7" w:rsidRDefault="00EA48E7" w:rsidP="00EA48E7">
    <w:pPr>
      <w:spacing w:after="240"/>
      <w:rPr>
        <w:sz w:val="20"/>
        <w:szCs w:val="20"/>
      </w:rPr>
    </w:pPr>
    <w:r w:rsidRPr="00EA48E7">
      <w:rPr>
        <w:sz w:val="20"/>
        <w:szCs w:val="20"/>
      </w:rPr>
      <w:t xml:space="preserve">Consultant may want to use the </w:t>
    </w:r>
    <w:hyperlink r:id="rId1" w:history="1">
      <w:r w:rsidRPr="00EA48E7">
        <w:rPr>
          <w:rStyle w:val="Hyperlink"/>
          <w:sz w:val="20"/>
          <w:szCs w:val="20"/>
        </w:rPr>
        <w:t>Coaching Log</w:t>
      </w:r>
    </w:hyperlink>
    <w:r w:rsidRPr="00EA48E7">
      <w:rPr>
        <w:sz w:val="20"/>
        <w:szCs w:val="20"/>
      </w:rPr>
      <w:t xml:space="preserve">, informed by the </w:t>
    </w:r>
    <w:hyperlink r:id="rId2" w:history="1">
      <w:r w:rsidRPr="00EA48E7">
        <w:rPr>
          <w:rStyle w:val="Hyperlink"/>
          <w:sz w:val="20"/>
          <w:szCs w:val="20"/>
        </w:rPr>
        <w:t>Coaching Strategies</w:t>
      </w:r>
    </w:hyperlink>
    <w:r w:rsidRPr="00EA48E7">
      <w:rPr>
        <w:sz w:val="20"/>
        <w:szCs w:val="20"/>
      </w:rPr>
      <w:t xml:space="preserve"> document found on </w:t>
    </w:r>
    <w:hyperlink r:id="rId3" w:history="1">
      <w:r w:rsidRPr="00EA48E7">
        <w:rPr>
          <w:rStyle w:val="Hyperlink"/>
          <w:sz w:val="20"/>
          <w:szCs w:val="20"/>
        </w:rPr>
        <w:t>www.challengingbehavior.org</w:t>
      </w:r>
    </w:hyperlink>
    <w:r w:rsidRPr="00EA48E7">
      <w:rPr>
        <w:sz w:val="20"/>
        <w:szCs w:val="20"/>
      </w:rPr>
      <w:t xml:space="preserve">. </w:t>
    </w:r>
  </w:p>
  <w:p w:rsidR="00231268" w:rsidRPr="00EA48E7" w:rsidRDefault="006E0A5F" w:rsidP="00BC4EDB">
    <w:pPr>
      <w:autoSpaceDE w:val="0"/>
      <w:autoSpaceDN w:val="0"/>
      <w:adjustRightInd w:val="0"/>
      <w:rPr>
        <w:sz w:val="20"/>
        <w:szCs w:val="20"/>
      </w:rPr>
    </w:pPr>
    <w:r w:rsidRPr="00EA48E7">
      <w:rPr>
        <w:sz w:val="20"/>
        <w:szCs w:val="20"/>
      </w:rPr>
      <w:t>Edited and modified March 2016</w:t>
    </w:r>
    <w:r w:rsidR="00231268" w:rsidRPr="00EA48E7">
      <w:rPr>
        <w:sz w:val="20"/>
        <w:szCs w:val="20"/>
      </w:rPr>
      <w:t xml:space="preserve"> with permission by </w:t>
    </w:r>
    <w:r w:rsidRPr="00EA48E7">
      <w:rPr>
        <w:sz w:val="20"/>
        <w:szCs w:val="20"/>
      </w:rPr>
      <w:t>Wendy Van Haaften, Tom Rendon and the Iowa Early Childhood PBIS State Leadership Team.</w:t>
    </w:r>
    <w:r w:rsidR="00231268" w:rsidRPr="00EA48E7">
      <w:rPr>
        <w:sz w:val="20"/>
        <w:szCs w:val="20"/>
      </w:rPr>
      <w:t xml:space="preserve"> </w:t>
    </w:r>
  </w:p>
  <w:p w:rsidR="00231268" w:rsidRPr="00EA48E7" w:rsidRDefault="006E0A5F" w:rsidP="00BC4EDB">
    <w:pPr>
      <w:autoSpaceDE w:val="0"/>
      <w:autoSpaceDN w:val="0"/>
      <w:adjustRightInd w:val="0"/>
      <w:rPr>
        <w:sz w:val="20"/>
        <w:szCs w:val="20"/>
      </w:rPr>
    </w:pPr>
    <w:r w:rsidRPr="00EA48E7">
      <w:rPr>
        <w:sz w:val="20"/>
        <w:szCs w:val="20"/>
      </w:rPr>
      <w:t xml:space="preserve">Original: </w:t>
    </w:r>
    <w:r w:rsidR="00231268" w:rsidRPr="00EA48E7">
      <w:rPr>
        <w:sz w:val="20"/>
        <w:szCs w:val="20"/>
      </w:rPr>
      <w:t>© 2010 Lise Fox, Mary Louise Hemmeter, and Susan Jack.</w:t>
    </w:r>
  </w:p>
  <w:p w:rsidR="00231268" w:rsidRDefault="002312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E7" w:rsidRDefault="00EA4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4B" w:rsidRDefault="0009244B" w:rsidP="00850F60">
      <w:r>
        <w:separator/>
      </w:r>
    </w:p>
  </w:footnote>
  <w:footnote w:type="continuationSeparator" w:id="0">
    <w:p w:rsidR="0009244B" w:rsidRDefault="0009244B" w:rsidP="00850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E7" w:rsidRDefault="00EA48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268" w:rsidRDefault="0023126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523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E7" w:rsidRDefault="00EA4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6D4A"/>
    <w:multiLevelType w:val="hybridMultilevel"/>
    <w:tmpl w:val="16540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D2FB5"/>
    <w:multiLevelType w:val="singleLevel"/>
    <w:tmpl w:val="6038C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4E56F01"/>
    <w:multiLevelType w:val="hybridMultilevel"/>
    <w:tmpl w:val="DE6C60AA"/>
    <w:lvl w:ilvl="0" w:tplc="7E26189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B56BA"/>
    <w:multiLevelType w:val="hybridMultilevel"/>
    <w:tmpl w:val="DC566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2A"/>
    <w:rsid w:val="00001997"/>
    <w:rsid w:val="00024A91"/>
    <w:rsid w:val="00053E5A"/>
    <w:rsid w:val="0009244B"/>
    <w:rsid w:val="000A0B56"/>
    <w:rsid w:val="000B1871"/>
    <w:rsid w:val="000B40A1"/>
    <w:rsid w:val="00110F5F"/>
    <w:rsid w:val="0014228C"/>
    <w:rsid w:val="0014239F"/>
    <w:rsid w:val="00152D1C"/>
    <w:rsid w:val="00177909"/>
    <w:rsid w:val="00181E67"/>
    <w:rsid w:val="0018694B"/>
    <w:rsid w:val="00187F95"/>
    <w:rsid w:val="00193808"/>
    <w:rsid w:val="001B3C09"/>
    <w:rsid w:val="001B62D8"/>
    <w:rsid w:val="001F694D"/>
    <w:rsid w:val="00226549"/>
    <w:rsid w:val="00231268"/>
    <w:rsid w:val="002562C8"/>
    <w:rsid w:val="00277588"/>
    <w:rsid w:val="002E0B93"/>
    <w:rsid w:val="002E4A44"/>
    <w:rsid w:val="002E5682"/>
    <w:rsid w:val="00326BB0"/>
    <w:rsid w:val="00344AD3"/>
    <w:rsid w:val="00365E86"/>
    <w:rsid w:val="00367C7C"/>
    <w:rsid w:val="00387203"/>
    <w:rsid w:val="00392870"/>
    <w:rsid w:val="003C4D70"/>
    <w:rsid w:val="003D5B2E"/>
    <w:rsid w:val="00402A39"/>
    <w:rsid w:val="004129FB"/>
    <w:rsid w:val="00434DD9"/>
    <w:rsid w:val="00490A04"/>
    <w:rsid w:val="004A2F4D"/>
    <w:rsid w:val="004A58F6"/>
    <w:rsid w:val="004B3431"/>
    <w:rsid w:val="004F4B61"/>
    <w:rsid w:val="005135B0"/>
    <w:rsid w:val="00513B74"/>
    <w:rsid w:val="00520963"/>
    <w:rsid w:val="0054266F"/>
    <w:rsid w:val="00594D88"/>
    <w:rsid w:val="005A2F0E"/>
    <w:rsid w:val="005B3E5A"/>
    <w:rsid w:val="005D30EA"/>
    <w:rsid w:val="005E0482"/>
    <w:rsid w:val="005E4A90"/>
    <w:rsid w:val="0060165D"/>
    <w:rsid w:val="00630A65"/>
    <w:rsid w:val="00644821"/>
    <w:rsid w:val="006C2C98"/>
    <w:rsid w:val="006E0A5F"/>
    <w:rsid w:val="00711F9F"/>
    <w:rsid w:val="007156A0"/>
    <w:rsid w:val="00756F35"/>
    <w:rsid w:val="007C7B30"/>
    <w:rsid w:val="007D1950"/>
    <w:rsid w:val="007E62EC"/>
    <w:rsid w:val="00814E39"/>
    <w:rsid w:val="00840E15"/>
    <w:rsid w:val="00850F60"/>
    <w:rsid w:val="008669E4"/>
    <w:rsid w:val="0088730D"/>
    <w:rsid w:val="008A28E6"/>
    <w:rsid w:val="008A4442"/>
    <w:rsid w:val="0093199D"/>
    <w:rsid w:val="00935C33"/>
    <w:rsid w:val="0095330F"/>
    <w:rsid w:val="00973EE2"/>
    <w:rsid w:val="009A75A3"/>
    <w:rsid w:val="009F769A"/>
    <w:rsid w:val="00A17E63"/>
    <w:rsid w:val="00A17F3D"/>
    <w:rsid w:val="00A30601"/>
    <w:rsid w:val="00A62A89"/>
    <w:rsid w:val="00AE4B0D"/>
    <w:rsid w:val="00B14734"/>
    <w:rsid w:val="00B27E4D"/>
    <w:rsid w:val="00B36C07"/>
    <w:rsid w:val="00B37724"/>
    <w:rsid w:val="00B56977"/>
    <w:rsid w:val="00B75603"/>
    <w:rsid w:val="00B81333"/>
    <w:rsid w:val="00B83B11"/>
    <w:rsid w:val="00BC4EDB"/>
    <w:rsid w:val="00BE1332"/>
    <w:rsid w:val="00BE6AEE"/>
    <w:rsid w:val="00BE77A7"/>
    <w:rsid w:val="00BF3523"/>
    <w:rsid w:val="00C2316A"/>
    <w:rsid w:val="00C276DF"/>
    <w:rsid w:val="00C45A15"/>
    <w:rsid w:val="00C55880"/>
    <w:rsid w:val="00C57BC8"/>
    <w:rsid w:val="00CB6F79"/>
    <w:rsid w:val="00CF1228"/>
    <w:rsid w:val="00D00861"/>
    <w:rsid w:val="00D21A2A"/>
    <w:rsid w:val="00D66798"/>
    <w:rsid w:val="00D7719A"/>
    <w:rsid w:val="00D959A2"/>
    <w:rsid w:val="00DC4817"/>
    <w:rsid w:val="00DC50B2"/>
    <w:rsid w:val="00DD753C"/>
    <w:rsid w:val="00DF065D"/>
    <w:rsid w:val="00E051B3"/>
    <w:rsid w:val="00EA48E7"/>
    <w:rsid w:val="00EC7445"/>
    <w:rsid w:val="00F25729"/>
    <w:rsid w:val="00F262AF"/>
    <w:rsid w:val="00F511D7"/>
    <w:rsid w:val="00F80FB2"/>
    <w:rsid w:val="00FA5F1F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C32DEC"/>
  <w15:docId w15:val="{F52F87E5-E00D-44C6-8A79-5B81CC46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A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129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9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29FB"/>
  </w:style>
  <w:style w:type="paragraph" w:styleId="CommentSubject">
    <w:name w:val="annotation subject"/>
    <w:basedOn w:val="CommentText"/>
    <w:next w:val="CommentText"/>
    <w:link w:val="CommentSubjectChar"/>
    <w:rsid w:val="004129F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4129FB"/>
    <w:rPr>
      <w:b/>
      <w:bCs/>
    </w:rPr>
  </w:style>
  <w:style w:type="paragraph" w:styleId="BalloonText">
    <w:name w:val="Balloon Text"/>
    <w:basedOn w:val="Normal"/>
    <w:link w:val="BalloonTextChar"/>
    <w:rsid w:val="004129F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129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50F6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50F6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50F6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50F60"/>
    <w:rPr>
      <w:sz w:val="24"/>
      <w:szCs w:val="24"/>
    </w:rPr>
  </w:style>
  <w:style w:type="character" w:styleId="Hyperlink">
    <w:name w:val="Hyperlink"/>
    <w:rsid w:val="00434D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efel.vanderbilt.edu/resources/training_piwi.html" TargetMode="External"/><Relationship Id="rId13" Type="http://schemas.openxmlformats.org/officeDocument/2006/relationships/hyperlink" Target="http://challengingbehavior.fmhi.usf.edu/do/resources/teaching_tools/toc/folder1/1d_daily_routine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sefel.vanderbilt.edu/resources/training_parent.html" TargetMode="External"/><Relationship Id="rId12" Type="http://schemas.openxmlformats.org/officeDocument/2006/relationships/hyperlink" Target="http://challengingbehavior.fmhi.usf.edu/do/resources/teaching_tools/toc/folder1/1e_routine_based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allengingbehavior.fmhi.usf.edu/do/resources/teaching_tools/toc/folder1/1f_teacher_support.do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hallengingbehavior.or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challengingbehavior.fmhi.usf.edu/do/resources/teaching_tools/toc/folder1/1f_teacher_support.doc" TargetMode="External"/><Relationship Id="rId14" Type="http://schemas.openxmlformats.org/officeDocument/2006/relationships/hyperlink" Target="http://www.challengingbehavior.or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allengingbehavior.org" TargetMode="External"/><Relationship Id="rId2" Type="http://schemas.openxmlformats.org/officeDocument/2006/relationships/hyperlink" Target="http://challengingbehavior.fmhi.usf.edu/communities/coaches_docs/coaching_strategies.pdf" TargetMode="External"/><Relationship Id="rId1" Type="http://schemas.openxmlformats.org/officeDocument/2006/relationships/hyperlink" Target="http://challengingbehavior.fmhi.usf.edu/documents/coach%20lo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Program-Wide PBS Benchmarks of Quality</vt:lpstr>
    </vt:vector>
  </TitlesOfParts>
  <Company>Florida Mental Health Inst.</Company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Childhood Program-Wide PBS Benchmarks of Quality</dc:title>
  <dc:creator>lentini</dc:creator>
  <cp:lastModifiedBy>Hoogeveen, Wendy</cp:lastModifiedBy>
  <cp:revision>3</cp:revision>
  <cp:lastPrinted>2012-12-04T23:44:00Z</cp:lastPrinted>
  <dcterms:created xsi:type="dcterms:W3CDTF">2017-04-13T16:24:00Z</dcterms:created>
  <dcterms:modified xsi:type="dcterms:W3CDTF">2020-06-11T20:12:00Z</dcterms:modified>
</cp:coreProperties>
</file>